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7314B5" w:rsidRDefault="00F92268" w:rsidP="00850792">
      <w:pPr>
        <w:pStyle w:val="BodyText"/>
        <w:rPr>
          <w:sz w:val="6"/>
          <w:szCs w:val="6"/>
        </w:rPr>
      </w:pPr>
      <w:r w:rsidRPr="007314B5">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92"/>
      </w:tblGrid>
      <w:tr w:rsidR="00F92268" w:rsidRPr="007314B5" w14:paraId="626EF7AA" w14:textId="77777777" w:rsidTr="006A25D5">
        <w:trPr>
          <w:trHeight w:val="144"/>
          <w:jc w:val="right"/>
        </w:trPr>
        <w:tc>
          <w:tcPr>
            <w:tcW w:w="189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7314B5" w:rsidRDefault="00F92268" w:rsidP="000025F0">
            <w:pPr>
              <w:pStyle w:val="Header"/>
              <w:rPr>
                <w:rFonts w:cs="Arial"/>
                <w:sz w:val="16"/>
                <w:szCs w:val="16"/>
              </w:rPr>
            </w:pPr>
            <w:r w:rsidRPr="007314B5">
              <w:rPr>
                <w:rFonts w:cs="Arial"/>
                <w:sz w:val="16"/>
                <w:szCs w:val="16"/>
              </w:rPr>
              <w:t>Reference number(s)</w:t>
            </w:r>
          </w:p>
        </w:tc>
      </w:tr>
      <w:tr w:rsidR="00F92268" w:rsidRPr="007314B5" w14:paraId="2C20F89A" w14:textId="77777777" w:rsidTr="006A25D5">
        <w:trPr>
          <w:trHeight w:val="378"/>
          <w:jc w:val="right"/>
        </w:trPr>
        <w:tc>
          <w:tcPr>
            <w:tcW w:w="1892" w:type="dxa"/>
            <w:tcBorders>
              <w:top w:val="single" w:sz="4" w:space="0" w:color="auto"/>
              <w:left w:val="single" w:sz="4" w:space="0" w:color="auto"/>
              <w:bottom w:val="single" w:sz="4" w:space="0" w:color="auto"/>
              <w:right w:val="single" w:sz="4" w:space="0" w:color="auto"/>
            </w:tcBorders>
            <w:hideMark/>
          </w:tcPr>
          <w:p w14:paraId="562031BD" w14:textId="35BA0B80" w:rsidR="00F92268" w:rsidRPr="00A86E33" w:rsidRDefault="00835D08" w:rsidP="00A31E63">
            <w:pPr>
              <w:pStyle w:val="BodyText"/>
              <w:rPr>
                <w:rFonts w:ascii="Arial" w:hAnsi="Arial"/>
                <w:sz w:val="16"/>
                <w:szCs w:val="16"/>
              </w:rPr>
            </w:pPr>
            <w:r w:rsidRPr="00A86E33">
              <w:rPr>
                <w:sz w:val="16"/>
                <w:szCs w:val="16"/>
                <w:shd w:val="clear" w:color="auto" w:fill="FFFFFF"/>
              </w:rPr>
              <w:t>1796-A</w:t>
            </w:r>
          </w:p>
        </w:tc>
      </w:tr>
    </w:tbl>
    <w:p w14:paraId="74FBA5B4" w14:textId="77777777" w:rsidR="00051356" w:rsidRPr="007314B5" w:rsidRDefault="00051356" w:rsidP="00A672B3">
      <w:pPr>
        <w:pStyle w:val="BodyText"/>
        <w:rPr>
          <w:b/>
          <w:bCs/>
          <w:sz w:val="16"/>
          <w:szCs w:val="16"/>
        </w:rPr>
        <w:sectPr w:rsidR="00051356" w:rsidRPr="007314B5"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494132D8" w14:textId="75ACCE0E" w:rsidR="00835D08" w:rsidRPr="007314B5" w:rsidRDefault="00835D08" w:rsidP="00835D08">
      <w:pPr>
        <w:pStyle w:val="Heading1"/>
      </w:pPr>
      <w:r w:rsidRPr="007314B5">
        <w:t>Specialty Guideline Management</w:t>
      </w:r>
      <w:r w:rsidRPr="007314B5">
        <w:br/>
        <w:t>Yervoy</w:t>
      </w:r>
    </w:p>
    <w:p w14:paraId="78861C92" w14:textId="2AA691BB" w:rsidR="00203468" w:rsidRPr="007314B5" w:rsidRDefault="00C64534" w:rsidP="008E0F0D">
      <w:pPr>
        <w:pStyle w:val="Heading2"/>
      </w:pPr>
      <w:r w:rsidRPr="007314B5">
        <w:t xml:space="preserve">Products Referenced by this </w:t>
      </w:r>
      <w:r w:rsidR="00501602" w:rsidRPr="007314B5">
        <w:t>Document</w:t>
      </w:r>
    </w:p>
    <w:p w14:paraId="5455152B" w14:textId="033A10C2" w:rsidR="008E0F0D" w:rsidRPr="007314B5" w:rsidRDefault="00D82D85" w:rsidP="008B73E8">
      <w:pPr>
        <w:pStyle w:val="BodyText"/>
      </w:pPr>
      <w:r w:rsidRPr="007314B5">
        <w:t xml:space="preserve">Drugs that are listed in the </w:t>
      </w:r>
      <w:r w:rsidR="000315F1" w:rsidRPr="007314B5">
        <w:t>following table</w:t>
      </w:r>
      <w:r w:rsidRPr="007314B5">
        <w:t xml:space="preserve"> include both brand and generic and all dosage forms and strengths unless otherwise stated. </w:t>
      </w:r>
      <w:r w:rsidR="0049656F" w:rsidRPr="007314B5">
        <w:t>Over-the-counter (</w:t>
      </w:r>
      <w:r w:rsidRPr="007314B5">
        <w:t>OTC</w:t>
      </w:r>
      <w:r w:rsidR="0049656F" w:rsidRPr="007314B5">
        <w:t>)</w:t>
      </w:r>
      <w:r w:rsidRPr="007314B5">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7314B5" w14:paraId="158421F8" w14:textId="77777777" w:rsidTr="000C5A6F">
        <w:trPr>
          <w:cantSplit/>
          <w:trHeight w:val="288"/>
          <w:tblHeader/>
        </w:trPr>
        <w:tc>
          <w:tcPr>
            <w:tcW w:w="5265" w:type="dxa"/>
            <w:vAlign w:val="center"/>
          </w:tcPr>
          <w:p w14:paraId="2A27354A" w14:textId="1390179E" w:rsidR="00252CE1" w:rsidRPr="007314B5" w:rsidRDefault="00252CE1" w:rsidP="00AA1E6A">
            <w:pPr>
              <w:pStyle w:val="TableHeader"/>
            </w:pPr>
            <w:bookmarkStart w:id="0" w:name="_Hlk159603270"/>
            <w:r w:rsidRPr="007314B5">
              <w:t>Brand Name</w:t>
            </w:r>
          </w:p>
        </w:tc>
        <w:tc>
          <w:tcPr>
            <w:tcW w:w="5595" w:type="dxa"/>
            <w:vAlign w:val="center"/>
          </w:tcPr>
          <w:p w14:paraId="3D342BE1" w14:textId="75F11EF1" w:rsidR="00252CE1" w:rsidRPr="007314B5" w:rsidRDefault="00252CE1" w:rsidP="00AA1E6A">
            <w:pPr>
              <w:pStyle w:val="TableHeader"/>
            </w:pPr>
            <w:r w:rsidRPr="007314B5">
              <w:t>Generic Name</w:t>
            </w:r>
          </w:p>
        </w:tc>
      </w:tr>
      <w:tr w:rsidR="00585FFF" w:rsidRPr="007314B5" w14:paraId="2AD5C02D" w14:textId="77777777" w:rsidTr="000C5A6F">
        <w:trPr>
          <w:cantSplit/>
        </w:trPr>
        <w:tc>
          <w:tcPr>
            <w:tcW w:w="5265" w:type="dxa"/>
          </w:tcPr>
          <w:p w14:paraId="2D8FA8E3" w14:textId="2EA5C46C" w:rsidR="00585FFF" w:rsidRPr="007314B5" w:rsidRDefault="00A4336C" w:rsidP="00E82ABA">
            <w:pPr>
              <w:pStyle w:val="TableDataUnpadded"/>
            </w:pPr>
            <w:r w:rsidRPr="007314B5">
              <w:t>Yervoy</w:t>
            </w:r>
          </w:p>
        </w:tc>
        <w:tc>
          <w:tcPr>
            <w:tcW w:w="5595" w:type="dxa"/>
          </w:tcPr>
          <w:p w14:paraId="7E26A004" w14:textId="2631186C" w:rsidR="00585FFF" w:rsidRPr="007314B5" w:rsidRDefault="00A4336C" w:rsidP="00E82ABA">
            <w:pPr>
              <w:pStyle w:val="TableDataUnpadded"/>
            </w:pPr>
            <w:proofErr w:type="spellStart"/>
            <w:r w:rsidRPr="007314B5">
              <w:t>Iplilimumab</w:t>
            </w:r>
            <w:proofErr w:type="spellEnd"/>
          </w:p>
        </w:tc>
      </w:tr>
    </w:tbl>
    <w:bookmarkEnd w:id="0"/>
    <w:p w14:paraId="14CE6108" w14:textId="53318055" w:rsidR="00FC1AAD" w:rsidRPr="007314B5" w:rsidRDefault="00ED052F" w:rsidP="00ED052F">
      <w:pPr>
        <w:pStyle w:val="Heading2"/>
      </w:pPr>
      <w:r w:rsidRPr="007314B5">
        <w:t xml:space="preserve">Indications </w:t>
      </w:r>
    </w:p>
    <w:p w14:paraId="0221C43C" w14:textId="22B62150" w:rsidR="00B1209A" w:rsidRPr="007314B5" w:rsidRDefault="00B1209A" w:rsidP="00B1209A">
      <w:pPr>
        <w:pStyle w:val="BodyText"/>
      </w:pPr>
      <w:r w:rsidRPr="007314B5">
        <w:t>The indications below including FDA-approved indications and compendial uses are considered a covered benefit provided that all the approval criteria are met and the member has no exclusions to the prescribed therapy.</w:t>
      </w:r>
    </w:p>
    <w:p w14:paraId="134B5687" w14:textId="0B1C9D87" w:rsidR="00ED052F" w:rsidRPr="007314B5" w:rsidRDefault="00ED052F" w:rsidP="00ED052F">
      <w:pPr>
        <w:pStyle w:val="Heading3"/>
        <w:keepNext w:val="0"/>
      </w:pPr>
      <w:r w:rsidRPr="007314B5">
        <w:t>FDA-approved Indications</w:t>
      </w:r>
      <w:r w:rsidR="00604771" w:rsidRPr="007314B5">
        <w:rPr>
          <w:vertAlign w:val="superscript"/>
        </w:rPr>
        <w:t>1</w:t>
      </w:r>
    </w:p>
    <w:p w14:paraId="5E636B9E" w14:textId="36AFBA0D" w:rsidR="00CD3071" w:rsidRPr="007314B5" w:rsidRDefault="00CD3071" w:rsidP="00CD3071">
      <w:pPr>
        <w:pStyle w:val="Heading4"/>
      </w:pPr>
      <w:r w:rsidRPr="007314B5">
        <w:t>Unresectable or Metastatic Melanoma</w:t>
      </w:r>
    </w:p>
    <w:p w14:paraId="3E640D71" w14:textId="42047ED4" w:rsidR="00CD3071" w:rsidRPr="007314B5" w:rsidRDefault="00CD3071" w:rsidP="00080D70">
      <w:pPr>
        <w:pStyle w:val="BodyText"/>
        <w:rPr>
          <w:rFonts w:cs="Segoe UI"/>
        </w:rPr>
      </w:pPr>
      <w:r w:rsidRPr="007314B5">
        <w:rPr>
          <w:color w:val="000000"/>
        </w:rPr>
        <w:t xml:space="preserve">Yervoy is </w:t>
      </w:r>
      <w:r w:rsidRPr="007314B5">
        <w:t>indicated as a single agent or in combination with nivolumab for the treatment of unresectable or metastatic melanoma in adult and pediatric patients 12 years and older.</w:t>
      </w:r>
    </w:p>
    <w:p w14:paraId="1F6483B1" w14:textId="41826335" w:rsidR="00CD3071" w:rsidRPr="007314B5" w:rsidRDefault="00CD3071" w:rsidP="00CD3071">
      <w:pPr>
        <w:pStyle w:val="Heading4"/>
      </w:pPr>
      <w:r w:rsidRPr="007314B5">
        <w:t>Adjuvant Treatment of Melanoma</w:t>
      </w:r>
    </w:p>
    <w:p w14:paraId="6359CA43" w14:textId="343467CF" w:rsidR="00CD3071" w:rsidRPr="007314B5" w:rsidRDefault="00CD3071" w:rsidP="00080D70">
      <w:pPr>
        <w:pStyle w:val="BodyText"/>
        <w:rPr>
          <w:rFonts w:cs="Segoe UI"/>
        </w:rPr>
      </w:pPr>
      <w:r w:rsidRPr="007314B5">
        <w:t>Yervoy is indicated for the adjuvant treatment of adult patients with cutaneous melanoma with pathologic involvement of regional lymph nodes of more than 1 mm who have undergone complete resection, including total lymphadenectomy.</w:t>
      </w:r>
    </w:p>
    <w:p w14:paraId="06B16A00" w14:textId="597F4E3C" w:rsidR="00CD3071" w:rsidRPr="007314B5" w:rsidRDefault="00CD3071" w:rsidP="00CD3071">
      <w:pPr>
        <w:pStyle w:val="Heading4"/>
      </w:pPr>
      <w:r w:rsidRPr="007314B5">
        <w:t>Advanced Renal Cell Carcinoma</w:t>
      </w:r>
    </w:p>
    <w:p w14:paraId="21A054BB" w14:textId="65BD7B05" w:rsidR="00CD3071" w:rsidRPr="007314B5" w:rsidRDefault="00CD3071" w:rsidP="00080D70">
      <w:pPr>
        <w:pStyle w:val="BodyText"/>
        <w:rPr>
          <w:rFonts w:cs="Segoe UI"/>
        </w:rPr>
      </w:pPr>
      <w:r w:rsidRPr="007314B5">
        <w:t>Yervoy, in combination with nivolumab, is indicated for the first-line treatment of adult patients with intermediate or poor risk advanced renal cell carcinoma (RCC).</w:t>
      </w:r>
    </w:p>
    <w:p w14:paraId="172603E5" w14:textId="77777777" w:rsidR="00FF4BF1" w:rsidRPr="007314B5" w:rsidRDefault="00FF4BF1" w:rsidP="00FF4BF1">
      <w:pPr>
        <w:pStyle w:val="Heading4"/>
      </w:pPr>
      <w:r w:rsidRPr="007314B5">
        <w:lastRenderedPageBreak/>
        <w:t>Microsatellite Instability-High (MSI-H) or Mismatch Repair Deficient (dMMR) Metastatic Colorectal Cancer</w:t>
      </w:r>
    </w:p>
    <w:p w14:paraId="287033F2" w14:textId="77777777" w:rsidR="00FF4BF1" w:rsidRPr="007314B5" w:rsidRDefault="00FF4BF1" w:rsidP="00FF4BF1">
      <w:pPr>
        <w:pStyle w:val="BodyText"/>
        <w:rPr>
          <w:rFonts w:cs="Segoe UI"/>
        </w:rPr>
      </w:pPr>
      <w:r w:rsidRPr="007314B5">
        <w:t>Yervoy, in combination with nivolumab, is indicated for the treatment of adult and pediatric patients 12 years of age and older with</w:t>
      </w:r>
      <w:r>
        <w:t xml:space="preserve"> unresectable or metastatic</w:t>
      </w:r>
      <w:r w:rsidRPr="007314B5">
        <w:t xml:space="preserve"> microsatellite instability-high (MSI-H) or mismatch repair deficient (dMMR) colorectal cancer (CRC).</w:t>
      </w:r>
    </w:p>
    <w:p w14:paraId="738596E3" w14:textId="77777777" w:rsidR="00FF4BF1" w:rsidRPr="007314B5" w:rsidRDefault="00FF4BF1" w:rsidP="00FF4BF1">
      <w:pPr>
        <w:pStyle w:val="Heading4"/>
      </w:pPr>
      <w:r w:rsidRPr="007314B5">
        <w:t>Hepatocellular Carcinoma</w:t>
      </w:r>
    </w:p>
    <w:p w14:paraId="66FA89B5" w14:textId="77777777" w:rsidR="00FF4BF1" w:rsidRDefault="00FF4BF1" w:rsidP="00FF4BF1">
      <w:pPr>
        <w:pStyle w:val="BodyText"/>
        <w:numPr>
          <w:ilvl w:val="0"/>
          <w:numId w:val="24"/>
        </w:numPr>
      </w:pPr>
      <w:r>
        <w:t>Yervoy, in combination with nivolumab, is indicated for the first-line treatment of adult patients with unresectable or metastatic hepatocellular carcinoma (HCC).</w:t>
      </w:r>
    </w:p>
    <w:p w14:paraId="3481DFB6" w14:textId="77777777" w:rsidR="00FF4BF1" w:rsidRPr="007314B5" w:rsidRDefault="00FF4BF1" w:rsidP="00FF4BF1">
      <w:pPr>
        <w:pStyle w:val="BodyText"/>
        <w:numPr>
          <w:ilvl w:val="0"/>
          <w:numId w:val="24"/>
        </w:numPr>
      </w:pPr>
      <w:r w:rsidRPr="007314B5">
        <w:t xml:space="preserve">Yervoy, in combination with nivolumab, is indicated for the treatment of adult patients with </w:t>
      </w:r>
      <w:r>
        <w:t>unresectable or metastatic HCC</w:t>
      </w:r>
      <w:r w:rsidRPr="007314B5">
        <w:t xml:space="preserve"> who have been previously treated with sorafenib.</w:t>
      </w:r>
    </w:p>
    <w:p w14:paraId="529FF913" w14:textId="20C11B10" w:rsidR="00B7376A" w:rsidRPr="007314B5" w:rsidRDefault="00B7376A" w:rsidP="00B7376A">
      <w:pPr>
        <w:pStyle w:val="Heading4"/>
      </w:pPr>
      <w:r w:rsidRPr="007314B5">
        <w:t>Metastatic Non-small Cell Lung Cancer</w:t>
      </w:r>
    </w:p>
    <w:p w14:paraId="5E2340EA" w14:textId="77777777" w:rsidR="00B7376A" w:rsidRPr="007314B5" w:rsidRDefault="00B7376A" w:rsidP="00080D70">
      <w:pPr>
        <w:pStyle w:val="ListParagraph"/>
      </w:pPr>
      <w:r w:rsidRPr="007314B5">
        <w:t>Yervoy, in combination with nivolumab, is indicated for the first-line treatment of adult patients with metastatic non-small cell lung cancer (NSCLC) whose tumors express PD-L1 (</w:t>
      </w:r>
      <w:r w:rsidRPr="007314B5">
        <w:rPr>
          <w:rFonts w:ascii="Cambria Math" w:hAnsi="Cambria Math" w:cs="Cambria Math"/>
        </w:rPr>
        <w:t>≥</w:t>
      </w:r>
      <w:r w:rsidRPr="007314B5">
        <w:t>1%) as determined by an FDA-approved test, with no EGFR or ALK genomic tumor aberrations. </w:t>
      </w:r>
    </w:p>
    <w:p w14:paraId="5143BD46" w14:textId="7576D783" w:rsidR="00B7376A" w:rsidRPr="007314B5" w:rsidRDefault="00B7376A" w:rsidP="00080D70">
      <w:pPr>
        <w:pStyle w:val="ListParagraph"/>
      </w:pPr>
      <w:r w:rsidRPr="007314B5">
        <w:t>Yervoy, in combination with nivolumab and 2 cycles of platinum-doublet chemotherapy, is indicated for the first-line treatment of adult patients with metastatic or recurrent non-small cell lung cancer with no EGFR or ALK genomic tumor aberrations. </w:t>
      </w:r>
    </w:p>
    <w:p w14:paraId="2648FE46" w14:textId="2B37F63A" w:rsidR="003F60E5" w:rsidRPr="007314B5" w:rsidRDefault="003F60E5" w:rsidP="003F60E5">
      <w:pPr>
        <w:pStyle w:val="Heading4"/>
      </w:pPr>
      <w:r w:rsidRPr="007314B5">
        <w:t>Malignant Pleural Mesothelioma</w:t>
      </w:r>
    </w:p>
    <w:p w14:paraId="5B577402" w14:textId="6B9780A3" w:rsidR="003F60E5" w:rsidRPr="007314B5" w:rsidRDefault="003F60E5" w:rsidP="001E355B">
      <w:pPr>
        <w:pStyle w:val="BodyText"/>
        <w:rPr>
          <w:rFonts w:cs="Segoe UI"/>
        </w:rPr>
      </w:pPr>
      <w:r w:rsidRPr="007314B5">
        <w:t>Yervoy, in combination with nivolumab, is indicated for the first-line treatment of adult patients with unresectable malignant pleural mesothelioma.</w:t>
      </w:r>
    </w:p>
    <w:p w14:paraId="450A5C06" w14:textId="2E2EDAC3" w:rsidR="003F60E5" w:rsidRPr="007314B5" w:rsidRDefault="003F60E5" w:rsidP="003F60E5">
      <w:pPr>
        <w:pStyle w:val="Heading4"/>
      </w:pPr>
      <w:r w:rsidRPr="007314B5">
        <w:t>Esophageal Cancer</w:t>
      </w:r>
    </w:p>
    <w:p w14:paraId="0A8A05E7" w14:textId="32F85BC9" w:rsidR="003F60E5" w:rsidRPr="007314B5" w:rsidRDefault="003F60E5" w:rsidP="00080D70">
      <w:pPr>
        <w:pStyle w:val="BodyText"/>
      </w:pPr>
      <w:r w:rsidRPr="007314B5">
        <w:t>Yervoy, in combination with nivolumab, is indicated for the first-line treatment of adult patients with unresectable advanced or metastatic esophageal squamous cell carcinoma (ESCC)</w:t>
      </w:r>
      <w:r w:rsidR="00FF4BF1">
        <w:t xml:space="preserve"> whose tumors express PD-L1 (</w:t>
      </w:r>
      <w:r w:rsidR="00FF4BF1">
        <w:rPr>
          <w:rFonts w:ascii="Calibri" w:hAnsi="Calibri" w:cs="Calibri"/>
        </w:rPr>
        <w:t>≥</w:t>
      </w:r>
      <w:r w:rsidR="00FF4BF1">
        <w:t>1 )</w:t>
      </w:r>
      <w:r w:rsidRPr="007314B5">
        <w:t>.</w:t>
      </w:r>
    </w:p>
    <w:p w14:paraId="0B5EC236" w14:textId="08EF22A3" w:rsidR="0044763A" w:rsidRPr="00284737" w:rsidRDefault="009F2EF1" w:rsidP="0044763A">
      <w:pPr>
        <w:pStyle w:val="Heading3"/>
      </w:pPr>
      <w:r w:rsidRPr="007314B5">
        <w:t>Compendial Uses</w:t>
      </w:r>
      <w:r w:rsidR="00FD060B" w:rsidRPr="007314B5">
        <w:rPr>
          <w:vertAlign w:val="superscript"/>
        </w:rPr>
        <w:t>2</w:t>
      </w:r>
    </w:p>
    <w:p w14:paraId="2B7F32C9" w14:textId="40ACF019" w:rsidR="00513FE3" w:rsidRPr="007314B5" w:rsidRDefault="00513FE3" w:rsidP="00DD3313">
      <w:pPr>
        <w:pStyle w:val="ListBullet"/>
      </w:pPr>
      <w:r w:rsidRPr="007314B5">
        <w:t>Cutaneous melanoma</w:t>
      </w:r>
    </w:p>
    <w:p w14:paraId="49CC1CA4" w14:textId="4583C70C" w:rsidR="00513FE3" w:rsidRPr="00F70479" w:rsidRDefault="00513FE3" w:rsidP="00DD3313">
      <w:pPr>
        <w:pStyle w:val="ListBullet"/>
        <w:rPr>
          <w:szCs w:val="22"/>
        </w:rPr>
      </w:pPr>
      <w:r w:rsidRPr="007314B5">
        <w:t>Uveal melanoma</w:t>
      </w:r>
    </w:p>
    <w:p w14:paraId="7894E6AB" w14:textId="73A1867C" w:rsidR="002D3B79" w:rsidRPr="007314B5" w:rsidRDefault="002D3B79" w:rsidP="00DD3313">
      <w:pPr>
        <w:pStyle w:val="ListBullet"/>
        <w:rPr>
          <w:szCs w:val="22"/>
        </w:rPr>
      </w:pPr>
      <w:bookmarkStart w:id="1" w:name="_Hlk193272924"/>
      <w:r w:rsidRPr="007314B5">
        <w:t>Gestational trophoblastic neoplasia</w:t>
      </w:r>
    </w:p>
    <w:bookmarkEnd w:id="1"/>
    <w:p w14:paraId="36738E54" w14:textId="6B77FAA3" w:rsidR="00513FE3" w:rsidRPr="007314B5" w:rsidRDefault="00513FE3" w:rsidP="00DD3313">
      <w:pPr>
        <w:pStyle w:val="ListBullet"/>
      </w:pPr>
      <w:r w:rsidRPr="007314B5">
        <w:t>Central nervous system (CNS) brain metastases</w:t>
      </w:r>
    </w:p>
    <w:p w14:paraId="0A2802B0" w14:textId="74D732E7" w:rsidR="00513FE3" w:rsidRPr="007314B5" w:rsidRDefault="00513FE3" w:rsidP="00DD3313">
      <w:pPr>
        <w:pStyle w:val="ListBullet"/>
      </w:pPr>
      <w:r w:rsidRPr="007314B5">
        <w:t>Non-small cell lung cancer</w:t>
      </w:r>
    </w:p>
    <w:p w14:paraId="3BFBC911" w14:textId="7EC8B323" w:rsidR="00513FE3" w:rsidRPr="007314B5" w:rsidRDefault="00513FE3" w:rsidP="00DD3313">
      <w:pPr>
        <w:pStyle w:val="ListBullet"/>
      </w:pPr>
      <w:r w:rsidRPr="007314B5">
        <w:t>Renal cell carcinoma</w:t>
      </w:r>
    </w:p>
    <w:p w14:paraId="455D74AE" w14:textId="748D4338" w:rsidR="00513FE3" w:rsidRPr="007314B5" w:rsidRDefault="00513FE3" w:rsidP="00DD3313">
      <w:pPr>
        <w:pStyle w:val="ListBullet"/>
      </w:pPr>
      <w:r w:rsidRPr="007314B5">
        <w:t>Colorectal cancer, including appendiceal adenocarcinoma and anal adenocarcinoma</w:t>
      </w:r>
    </w:p>
    <w:p w14:paraId="2D521972" w14:textId="6A589EC5" w:rsidR="00513FE3" w:rsidRPr="007314B5" w:rsidRDefault="00513FE3" w:rsidP="00DD3313">
      <w:pPr>
        <w:pStyle w:val="ListBullet"/>
      </w:pPr>
      <w:r w:rsidRPr="007314B5">
        <w:t>Pleural mesothelioma</w:t>
      </w:r>
    </w:p>
    <w:p w14:paraId="41A6E2E9" w14:textId="64CFED44" w:rsidR="00513FE3" w:rsidRPr="007314B5" w:rsidRDefault="00513FE3" w:rsidP="00DD3313">
      <w:pPr>
        <w:pStyle w:val="ListBullet"/>
      </w:pPr>
      <w:r w:rsidRPr="007314B5">
        <w:t>Peritoneal mesothelioma</w:t>
      </w:r>
    </w:p>
    <w:p w14:paraId="3A5BDCD6" w14:textId="17CE33A8" w:rsidR="00513FE3" w:rsidRPr="007314B5" w:rsidRDefault="00513FE3" w:rsidP="00DD3313">
      <w:pPr>
        <w:pStyle w:val="ListBullet"/>
      </w:pPr>
      <w:r w:rsidRPr="007314B5">
        <w:t>Hepatocellular carcinoma</w:t>
      </w:r>
    </w:p>
    <w:p w14:paraId="7133CF90" w14:textId="5CA0615D" w:rsidR="00513FE3" w:rsidRPr="007314B5" w:rsidRDefault="00513FE3" w:rsidP="00DD3313">
      <w:pPr>
        <w:pStyle w:val="ListBullet"/>
      </w:pPr>
      <w:r w:rsidRPr="007314B5">
        <w:lastRenderedPageBreak/>
        <w:t>Small bowel adenocarcinoma</w:t>
      </w:r>
    </w:p>
    <w:p w14:paraId="6BAEAEA3" w14:textId="0FC40282" w:rsidR="00513FE3" w:rsidRPr="007314B5" w:rsidRDefault="00513FE3" w:rsidP="00DD3313">
      <w:pPr>
        <w:pStyle w:val="ListBullet"/>
      </w:pPr>
      <w:r w:rsidRPr="007314B5">
        <w:t>Ampullary adenocarcinoma</w:t>
      </w:r>
    </w:p>
    <w:p w14:paraId="276E8FA3" w14:textId="6DA0E0E8" w:rsidR="00513FE3" w:rsidRPr="007314B5" w:rsidRDefault="00513FE3" w:rsidP="00DD3313">
      <w:pPr>
        <w:pStyle w:val="ListBullet"/>
      </w:pPr>
      <w:r w:rsidRPr="007314B5">
        <w:t>Esophageal/Esophagogastric Junction Cancers</w:t>
      </w:r>
    </w:p>
    <w:p w14:paraId="578933C2" w14:textId="4FE12083" w:rsidR="00513FE3" w:rsidRPr="007314B5" w:rsidRDefault="00513FE3" w:rsidP="00DD3313">
      <w:pPr>
        <w:pStyle w:val="ListBullet"/>
      </w:pPr>
      <w:r w:rsidRPr="007314B5">
        <w:t>Kaposi Sarcoma</w:t>
      </w:r>
    </w:p>
    <w:p w14:paraId="4593879F" w14:textId="0AA921BA" w:rsidR="00513FE3" w:rsidRPr="007314B5" w:rsidRDefault="00513FE3" w:rsidP="00DD3313">
      <w:pPr>
        <w:pStyle w:val="ListBullet"/>
      </w:pPr>
      <w:r w:rsidRPr="007314B5">
        <w:t>Bone Cancer</w:t>
      </w:r>
    </w:p>
    <w:p w14:paraId="47C6B90D" w14:textId="157F91C6" w:rsidR="00513FE3" w:rsidRPr="007314B5" w:rsidRDefault="00513FE3" w:rsidP="00DD3313">
      <w:pPr>
        <w:pStyle w:val="ListBullet"/>
      </w:pPr>
      <w:r w:rsidRPr="007314B5">
        <w:t>Biliary Tract Cancers</w:t>
      </w:r>
    </w:p>
    <w:p w14:paraId="343ACB52" w14:textId="5A080B0E" w:rsidR="00950966" w:rsidRPr="007314B5" w:rsidRDefault="00950966" w:rsidP="00950966">
      <w:pPr>
        <w:pStyle w:val="ListBullet2"/>
      </w:pPr>
      <w:r w:rsidRPr="007314B5">
        <w:t>Cholangiocarcinoma</w:t>
      </w:r>
    </w:p>
    <w:p w14:paraId="4E96D55D" w14:textId="019D05C9" w:rsidR="00950966" w:rsidRPr="007314B5" w:rsidRDefault="00950966" w:rsidP="00950966">
      <w:pPr>
        <w:pStyle w:val="ListBullet2"/>
      </w:pPr>
      <w:r w:rsidRPr="007314B5">
        <w:t>Gallbladder Cancer</w:t>
      </w:r>
    </w:p>
    <w:p w14:paraId="4DD78562" w14:textId="7FF3A07F" w:rsidR="00F9519D" w:rsidRPr="007314B5" w:rsidRDefault="00F9519D" w:rsidP="00F9519D">
      <w:pPr>
        <w:pStyle w:val="ListBullet"/>
      </w:pPr>
      <w:r w:rsidRPr="007314B5">
        <w:t>Soft Tissue Sarcoma</w:t>
      </w:r>
    </w:p>
    <w:p w14:paraId="440F1ED0" w14:textId="406115FC" w:rsidR="00F9519D" w:rsidRPr="007314B5" w:rsidRDefault="00F9519D" w:rsidP="00F9519D">
      <w:pPr>
        <w:pStyle w:val="ListBullet2"/>
      </w:pPr>
      <w:r w:rsidRPr="007314B5">
        <w:t>Extremity/body wall sarcoma</w:t>
      </w:r>
    </w:p>
    <w:p w14:paraId="131DEC14" w14:textId="67952E80" w:rsidR="00F9519D" w:rsidRPr="007314B5" w:rsidRDefault="00F9519D" w:rsidP="00F9519D">
      <w:pPr>
        <w:pStyle w:val="ListBullet2"/>
      </w:pPr>
      <w:r w:rsidRPr="007314B5">
        <w:t>Head/neck sarcoma</w:t>
      </w:r>
    </w:p>
    <w:p w14:paraId="7DF67EEC" w14:textId="6125C90D" w:rsidR="00F9519D" w:rsidRPr="007314B5" w:rsidRDefault="00F9519D" w:rsidP="00F9519D">
      <w:pPr>
        <w:pStyle w:val="ListBullet2"/>
      </w:pPr>
      <w:r w:rsidRPr="007314B5">
        <w:t>Retroperitoneal/intra-abdominal sarcoma</w:t>
      </w:r>
    </w:p>
    <w:p w14:paraId="747024C2" w14:textId="019EEECA" w:rsidR="00F9519D" w:rsidRPr="007314B5" w:rsidRDefault="00F9519D" w:rsidP="00F9519D">
      <w:pPr>
        <w:pStyle w:val="ListBullet2"/>
      </w:pPr>
      <w:r w:rsidRPr="007314B5">
        <w:t>Rhabdomyosarcoma</w:t>
      </w:r>
    </w:p>
    <w:p w14:paraId="0D3F1E97" w14:textId="493B608C" w:rsidR="00F9519D" w:rsidRPr="007314B5" w:rsidRDefault="00F9519D" w:rsidP="00F9519D">
      <w:pPr>
        <w:pStyle w:val="ListBullet2"/>
      </w:pPr>
      <w:r w:rsidRPr="007314B5">
        <w:t>Angiosarcoma</w:t>
      </w:r>
    </w:p>
    <w:p w14:paraId="21E14A78" w14:textId="05F3B84D" w:rsidR="00F9519D" w:rsidRPr="007314B5" w:rsidRDefault="00F9519D" w:rsidP="00F9519D">
      <w:pPr>
        <w:pStyle w:val="ListBullet"/>
      </w:pPr>
      <w:r w:rsidRPr="007314B5">
        <w:t>Merkel Cell Carcinoma</w:t>
      </w:r>
    </w:p>
    <w:p w14:paraId="25876E68" w14:textId="71F20DF4" w:rsidR="00DD3313" w:rsidRPr="007314B5" w:rsidRDefault="00F9519D" w:rsidP="00F9519D">
      <w:pPr>
        <w:pStyle w:val="ListBullet"/>
      </w:pPr>
      <w:r w:rsidRPr="007314B5">
        <w:t>Gastric Cancer</w:t>
      </w:r>
    </w:p>
    <w:p w14:paraId="0D5A9DD5" w14:textId="6E0E3B61" w:rsidR="009A5649" w:rsidRPr="007314B5" w:rsidRDefault="009A5649" w:rsidP="00A951DC">
      <w:pPr>
        <w:pStyle w:val="BodyText"/>
        <w:rPr>
          <w:rFonts w:eastAsia="Arial"/>
        </w:rPr>
      </w:pPr>
      <w:r w:rsidRPr="007314B5">
        <w:t xml:space="preserve">All other indications are considered experimental/investigational and </w:t>
      </w:r>
      <w:r w:rsidRPr="007314B5">
        <w:rPr>
          <w:rFonts w:eastAsia="Arial"/>
        </w:rPr>
        <w:t>not medically necessary.</w:t>
      </w:r>
    </w:p>
    <w:p w14:paraId="36381B6D" w14:textId="7AE7C795" w:rsidR="000D2496" w:rsidRPr="007314B5" w:rsidRDefault="000D2496" w:rsidP="000D2496">
      <w:pPr>
        <w:pStyle w:val="Heading2"/>
      </w:pPr>
      <w:r w:rsidRPr="007314B5">
        <w:t>Documentation</w:t>
      </w:r>
    </w:p>
    <w:p w14:paraId="2180ED6E" w14:textId="3308EE40" w:rsidR="000D2496" w:rsidRPr="007314B5" w:rsidRDefault="000D2496" w:rsidP="000D2496">
      <w:pPr>
        <w:pStyle w:val="BodyText"/>
      </w:pPr>
      <w:r w:rsidRPr="007314B5">
        <w:t>Submission of the following information is necessary to initiate the prior authorization review:</w:t>
      </w:r>
    </w:p>
    <w:p w14:paraId="2FC5538B" w14:textId="0334A957" w:rsidR="00CB0A42" w:rsidRPr="007314B5" w:rsidRDefault="00CB0A42" w:rsidP="00CB0A42">
      <w:pPr>
        <w:pStyle w:val="ListBullet"/>
      </w:pPr>
      <w:r w:rsidRPr="007314B5">
        <w:t>Documentation of laboratory report confirming MSI-H, mismatch repair deficient (dMMR), or polymerase epsilon/delta (POLE/POLD1) tumor status, where applicable.</w:t>
      </w:r>
    </w:p>
    <w:p w14:paraId="2F30F260" w14:textId="5A058282" w:rsidR="00CB0A42" w:rsidRPr="007314B5" w:rsidRDefault="00CB0A42" w:rsidP="000D2496">
      <w:pPr>
        <w:pStyle w:val="ListBullet"/>
      </w:pPr>
      <w:r w:rsidRPr="007314B5">
        <w:t xml:space="preserve">Documentation of molecular testing for EGFR </w:t>
      </w:r>
      <w:r w:rsidR="00A521C3" w:rsidRPr="007314B5">
        <w:t>alterations</w:t>
      </w:r>
      <w:r w:rsidRPr="007314B5">
        <w:t xml:space="preserve"> and ALK</w:t>
      </w:r>
      <w:r w:rsidR="00A521C3" w:rsidRPr="007314B5">
        <w:t>, RET, and ROS1</w:t>
      </w:r>
      <w:r w:rsidRPr="007314B5">
        <w:t xml:space="preserve"> rearrangements, where applicable</w:t>
      </w:r>
      <w:r w:rsidR="000D5A48" w:rsidRPr="007314B5">
        <w:t>.</w:t>
      </w:r>
    </w:p>
    <w:p w14:paraId="50A38FBA" w14:textId="431C3FB7" w:rsidR="00FE0C63" w:rsidRPr="007314B5" w:rsidRDefault="00685107" w:rsidP="00E050E1">
      <w:pPr>
        <w:pStyle w:val="Heading2"/>
      </w:pPr>
      <w:r w:rsidRPr="007314B5">
        <w:t>Coverage Criteria</w:t>
      </w:r>
    </w:p>
    <w:p w14:paraId="4AEDBF14" w14:textId="6D211D3E" w:rsidR="00E346EB" w:rsidRPr="007314B5" w:rsidRDefault="00E346EB" w:rsidP="00E346EB">
      <w:pPr>
        <w:pStyle w:val="Heading3"/>
      </w:pPr>
      <w:r w:rsidRPr="007314B5">
        <w:t>Cutaneous Melanom</w:t>
      </w:r>
      <w:r w:rsidR="00FD060B" w:rsidRPr="007314B5">
        <w:t>a</w:t>
      </w:r>
      <w:r w:rsidR="00FD060B" w:rsidRPr="007314B5">
        <w:rPr>
          <w:vertAlign w:val="superscript"/>
        </w:rPr>
        <w:t>1,2</w:t>
      </w:r>
    </w:p>
    <w:p w14:paraId="1DC84326" w14:textId="2DC5287F" w:rsidR="00E346EB" w:rsidRPr="007314B5" w:rsidRDefault="00E346EB" w:rsidP="00E346EB">
      <w:pPr>
        <w:pStyle w:val="BodyText"/>
        <w:rPr>
          <w:rFonts w:cs="Times New Roman"/>
          <w:szCs w:val="20"/>
        </w:rPr>
      </w:pPr>
      <w:r w:rsidRPr="007314B5">
        <w:t>Authorization of 6 months may be granted for treatment of cutaneous melanoma in any of the following settings:</w:t>
      </w:r>
    </w:p>
    <w:p w14:paraId="26C4DD53" w14:textId="7FAF61E1" w:rsidR="00E346EB" w:rsidRPr="007314B5" w:rsidRDefault="00E346EB" w:rsidP="00E346EB">
      <w:pPr>
        <w:pStyle w:val="ListBullet"/>
      </w:pPr>
      <w:r w:rsidRPr="007314B5">
        <w:t>The requested medication will be used as a single agent (for up to 4 doses) or in combination with nivolumab (for 4 doses followed by nivolumab as a single agent) for metastatic or unresectable disease.</w:t>
      </w:r>
    </w:p>
    <w:p w14:paraId="696B8ECB" w14:textId="206C8840" w:rsidR="00E346EB" w:rsidRPr="007314B5" w:rsidRDefault="00E346EB" w:rsidP="00E346EB">
      <w:pPr>
        <w:pStyle w:val="ListBullet"/>
      </w:pPr>
      <w:r w:rsidRPr="007314B5">
        <w:t xml:space="preserve">The requested medication will be used as a single agent (for up to </w:t>
      </w:r>
      <w:r w:rsidR="002231D9" w:rsidRPr="007314B5">
        <w:t>8</w:t>
      </w:r>
      <w:r w:rsidRPr="007314B5">
        <w:t xml:space="preserve"> doses) or in combination with nivolumab (for 4 doses followed by nivolumab as a single agent) as adjuvant treatment if no evidence of disease following </w:t>
      </w:r>
      <w:r w:rsidR="00A96BA6" w:rsidRPr="007314B5">
        <w:t xml:space="preserve">systemic or </w:t>
      </w:r>
      <w:r w:rsidRPr="007314B5">
        <w:t>metastasis-directed therapy (e.g., complete resection).</w:t>
      </w:r>
    </w:p>
    <w:p w14:paraId="5E51F330" w14:textId="7EB3BC9D" w:rsidR="00E346EB" w:rsidRPr="007314B5" w:rsidRDefault="00E346EB" w:rsidP="00E346EB">
      <w:pPr>
        <w:pStyle w:val="ListBullet"/>
      </w:pPr>
      <w:r w:rsidRPr="007314B5">
        <w:lastRenderedPageBreak/>
        <w:t>The requested medication will be used at a low dose in combination with pembrolizumab for disease progression following anti-PD-1 therapy as subsequent therapy for metastatic or unresectable disease.</w:t>
      </w:r>
    </w:p>
    <w:p w14:paraId="08EB526E" w14:textId="49ADEF0A" w:rsidR="00E346EB" w:rsidRPr="007314B5" w:rsidRDefault="00E346EB" w:rsidP="00E346EB">
      <w:pPr>
        <w:pStyle w:val="ListBullet"/>
      </w:pPr>
      <w:r w:rsidRPr="007314B5">
        <w:t>The requested medication will be used as a single agent</w:t>
      </w:r>
      <w:r w:rsidR="00A96BA6" w:rsidRPr="007314B5">
        <w:t xml:space="preserve"> (for up to 8 doses)</w:t>
      </w:r>
      <w:r w:rsidRPr="007314B5">
        <w:t xml:space="preserve"> for resectable</w:t>
      </w:r>
      <w:r w:rsidR="00346EA3" w:rsidRPr="007314B5">
        <w:t xml:space="preserve"> disease </w:t>
      </w:r>
      <w:r w:rsidRPr="007314B5">
        <w:t>after prior anti-PD-1 therapy.</w:t>
      </w:r>
    </w:p>
    <w:p w14:paraId="062AEF65" w14:textId="30B82355" w:rsidR="00E346EB" w:rsidRPr="007314B5" w:rsidRDefault="00E346EB" w:rsidP="005B4475">
      <w:pPr>
        <w:pStyle w:val="ListBullet"/>
      </w:pPr>
      <w:r w:rsidRPr="007314B5">
        <w:t>The requested medication will be used in combination with nivolumab (for 4 doses followed by nivolumab as a single agent) as neoadjuvant treatment.</w:t>
      </w:r>
    </w:p>
    <w:p w14:paraId="382EBA67" w14:textId="2D2AC8FB" w:rsidR="00E346EB" w:rsidRPr="007314B5" w:rsidRDefault="00E346EB" w:rsidP="00E346EB">
      <w:pPr>
        <w:pStyle w:val="Heading3"/>
        <w:rPr>
          <w:vertAlign w:val="superscript"/>
        </w:rPr>
      </w:pPr>
      <w:r w:rsidRPr="007314B5">
        <w:t>Uveal Melanom</w:t>
      </w:r>
      <w:r w:rsidR="007722CA" w:rsidRPr="007314B5">
        <w:t>a</w:t>
      </w:r>
      <w:r w:rsidR="007722CA" w:rsidRPr="007314B5">
        <w:rPr>
          <w:vertAlign w:val="superscript"/>
        </w:rPr>
        <w:t>2</w:t>
      </w:r>
    </w:p>
    <w:p w14:paraId="06B4417E" w14:textId="62379708" w:rsidR="00E346EB" w:rsidRPr="007314B5" w:rsidRDefault="00E346EB" w:rsidP="005B4475">
      <w:pPr>
        <w:pStyle w:val="BodyText"/>
      </w:pPr>
      <w:r w:rsidRPr="007314B5">
        <w:t>Authorization of 6 months may be granted as a single agent or in combination with nivolumab (for 4 doses followed by nivolumab as a single agent) for treatment of uveal melanoma for unresectable or metastatic disease.</w:t>
      </w:r>
    </w:p>
    <w:p w14:paraId="2EA47758" w14:textId="77777777" w:rsidR="002D3B79" w:rsidRPr="007314B5" w:rsidRDefault="002D3B79" w:rsidP="002D3B79">
      <w:pPr>
        <w:pStyle w:val="Heading3"/>
      </w:pPr>
      <w:bookmarkStart w:id="2" w:name="_Hlk193273187"/>
      <w:r w:rsidRPr="007314B5">
        <w:t>Gestational Trophoblastic Neoplasia</w:t>
      </w:r>
      <w:r w:rsidRPr="007314B5">
        <w:rPr>
          <w:vertAlign w:val="superscript"/>
        </w:rPr>
        <w:t>2</w:t>
      </w:r>
    </w:p>
    <w:p w14:paraId="768344A8" w14:textId="3D8C2B0E" w:rsidR="002D3B79" w:rsidRPr="007314B5" w:rsidRDefault="002D3B79" w:rsidP="002D3B79">
      <w:pPr>
        <w:pStyle w:val="BodyText"/>
      </w:pPr>
      <w:r w:rsidRPr="007314B5">
        <w:t>Authorization of 6 months may be granted in combination with nivolumab for treatment of gestational trophoblastic neoplasia for multiagent chemotherapy-resistant disease when either of the following criteria is met:</w:t>
      </w:r>
    </w:p>
    <w:p w14:paraId="24EDCB22" w14:textId="77777777" w:rsidR="002D3B79" w:rsidRPr="007314B5" w:rsidRDefault="002D3B79" w:rsidP="002D3B79">
      <w:pPr>
        <w:pStyle w:val="ListParagraph"/>
      </w:pPr>
      <w:r w:rsidRPr="007314B5">
        <w:t>Member has recurrent or progressive intermediate trophoblastic tumor (placental site trophoblastic tumor or epithelioid trophoblastic tumor).</w:t>
      </w:r>
    </w:p>
    <w:p w14:paraId="0D81138D" w14:textId="4C9D14C7" w:rsidR="002D3B79" w:rsidRPr="007314B5" w:rsidRDefault="002D3B79" w:rsidP="00EF463B">
      <w:pPr>
        <w:pStyle w:val="ListParagraph"/>
      </w:pPr>
      <w:r w:rsidRPr="007314B5">
        <w:t>Member has high-risk disease.</w:t>
      </w:r>
    </w:p>
    <w:bookmarkEnd w:id="2"/>
    <w:p w14:paraId="4C413027" w14:textId="09A9E8CC" w:rsidR="00E346EB" w:rsidRPr="007314B5" w:rsidRDefault="00E346EB" w:rsidP="00E346EB">
      <w:pPr>
        <w:pStyle w:val="Heading3"/>
      </w:pPr>
      <w:r w:rsidRPr="007314B5">
        <w:t>CNS Brain Metastases</w:t>
      </w:r>
      <w:r w:rsidRPr="007314B5">
        <w:rPr>
          <w:vertAlign w:val="superscript"/>
        </w:rPr>
        <w:t>2</w:t>
      </w:r>
    </w:p>
    <w:p w14:paraId="052AAC30" w14:textId="06AE4F50" w:rsidR="00E346EB" w:rsidRPr="007314B5" w:rsidRDefault="00E346EB" w:rsidP="005B4475">
      <w:pPr>
        <w:pStyle w:val="BodyText"/>
        <w:rPr>
          <w:rFonts w:cs="Segoe UI"/>
        </w:rPr>
      </w:pPr>
      <w:r w:rsidRPr="007314B5">
        <w:t>Authorization of 6 months may be granted as a single agent or in combination with nivolumab (for 4 doses followed by nivolumab as a single agent) for treatment of CNS brain metastases in members with melanoma.</w:t>
      </w:r>
    </w:p>
    <w:p w14:paraId="511C713F" w14:textId="68255D2B" w:rsidR="00E346EB" w:rsidRPr="007314B5" w:rsidRDefault="00E346EB" w:rsidP="00E346EB">
      <w:pPr>
        <w:pStyle w:val="Heading3"/>
      </w:pPr>
      <w:r w:rsidRPr="007314B5">
        <w:t>Non-Small Cell Lung Cancer (NSCLC)</w:t>
      </w:r>
      <w:r w:rsidRPr="007314B5">
        <w:rPr>
          <w:vertAlign w:val="superscript"/>
        </w:rPr>
        <w:t>1,2</w:t>
      </w:r>
    </w:p>
    <w:p w14:paraId="413592C4" w14:textId="064614C7" w:rsidR="00E346EB" w:rsidRPr="007314B5" w:rsidRDefault="00E346EB" w:rsidP="005B4475">
      <w:pPr>
        <w:pStyle w:val="BodyText"/>
        <w:rPr>
          <w:rFonts w:ascii="Segoe UI" w:hAnsi="Segoe UI" w:cs="Segoe UI"/>
        </w:rPr>
      </w:pPr>
      <w:r w:rsidRPr="007314B5">
        <w:t>Authorization of 6 months may be granted for treatment of recurrent, advanced or metastatic non-small cell lung cancer if there are no EGFR exon 19 deletions or exon 21 L858R mutations or ALK</w:t>
      </w:r>
      <w:r w:rsidR="00A521C3" w:rsidRPr="007314B5">
        <w:t>, RET, or ROS1</w:t>
      </w:r>
      <w:r w:rsidRPr="007314B5">
        <w:t xml:space="preserve"> rearrangements (unless testing is not feasible due to insufficient tissue) and the requested medication will be used in a regimen containing nivolumab.</w:t>
      </w:r>
    </w:p>
    <w:p w14:paraId="3F4C3C60" w14:textId="1963B9A0" w:rsidR="00E346EB" w:rsidRPr="007314B5" w:rsidRDefault="00E346EB" w:rsidP="00E346EB">
      <w:pPr>
        <w:pStyle w:val="Heading3"/>
      </w:pPr>
      <w:r w:rsidRPr="007314B5">
        <w:t>Renal Cell Carcinoma</w:t>
      </w:r>
      <w:r w:rsidRPr="007314B5">
        <w:rPr>
          <w:vertAlign w:val="superscript"/>
        </w:rPr>
        <w:t>1,2</w:t>
      </w:r>
    </w:p>
    <w:p w14:paraId="3BEE7F3E" w14:textId="3E11570B" w:rsidR="00E346EB" w:rsidRPr="007314B5" w:rsidRDefault="00E346EB" w:rsidP="00080D70">
      <w:pPr>
        <w:pStyle w:val="BodyText"/>
        <w:rPr>
          <w:rFonts w:cs="Segoe UI"/>
        </w:rPr>
      </w:pPr>
      <w:r w:rsidRPr="007314B5">
        <w:t>Authorization of 6 months may be granted for treatment of renal cell carcinoma in combination with nivolumab (for 4 doses, followed by single agent nivolumab) for relapsed, advanced, or stage IV disease with clear cell histology.</w:t>
      </w:r>
    </w:p>
    <w:p w14:paraId="479440C5" w14:textId="3A4521CE" w:rsidR="00E346EB" w:rsidRPr="007314B5" w:rsidRDefault="00E346EB" w:rsidP="00E346EB">
      <w:pPr>
        <w:pStyle w:val="Heading3"/>
      </w:pPr>
      <w:r w:rsidRPr="007314B5">
        <w:lastRenderedPageBreak/>
        <w:t>Colorectal Cancer</w:t>
      </w:r>
      <w:r w:rsidRPr="007314B5">
        <w:rPr>
          <w:vertAlign w:val="superscript"/>
        </w:rPr>
        <w:t>1,2,3</w:t>
      </w:r>
    </w:p>
    <w:p w14:paraId="291ED784" w14:textId="22D6C62D" w:rsidR="00E346EB" w:rsidRPr="00E012D1" w:rsidRDefault="00E346EB" w:rsidP="00E012D1">
      <w:pPr>
        <w:pStyle w:val="BodyText"/>
        <w:rPr>
          <w:rFonts w:cs="Segoe UI"/>
        </w:rPr>
      </w:pPr>
      <w:r w:rsidRPr="007314B5">
        <w:t xml:space="preserve">Authorization of 6 months may be granted for treatment of colorectal cancer, including appendiceal adenocarcinoma and anal adenocarcinoma, for microsatellite instability-high (MSI-H), mismatch repair deficient (dMMR) or polymerase epsilon/delta (POLE/POLD1) tumors </w:t>
      </w:r>
      <w:r w:rsidR="00714164" w:rsidRPr="007314B5">
        <w:t xml:space="preserve">with ultra-hypermutated phenotype (e.g., tumor mutational burden (TMB) &gt; 50 mut/Mb) </w:t>
      </w:r>
      <w:r w:rsidRPr="007314B5">
        <w:t>when used in combination with nivolumab (for 4 doses followed by nivolumab as a single agent).</w:t>
      </w:r>
    </w:p>
    <w:p w14:paraId="1F3EB693" w14:textId="5E2514BA" w:rsidR="00E346EB" w:rsidRPr="007314B5" w:rsidRDefault="00E346EB" w:rsidP="00E346EB">
      <w:pPr>
        <w:pStyle w:val="Heading3"/>
      </w:pPr>
      <w:r w:rsidRPr="007314B5">
        <w:t>Pleural or Peritoneal Mesothelioma</w:t>
      </w:r>
      <w:r w:rsidRPr="007314B5">
        <w:rPr>
          <w:vertAlign w:val="superscript"/>
        </w:rPr>
        <w:t>1,2</w:t>
      </w:r>
    </w:p>
    <w:p w14:paraId="41195256" w14:textId="488A00F9" w:rsidR="00E346EB" w:rsidRPr="007314B5" w:rsidRDefault="00E346EB" w:rsidP="00E012D1">
      <w:pPr>
        <w:pStyle w:val="BodyText"/>
        <w:rPr>
          <w:rFonts w:ascii="Segoe UI" w:hAnsi="Segoe UI" w:cs="Segoe UI"/>
          <w:sz w:val="18"/>
          <w:szCs w:val="18"/>
        </w:rPr>
      </w:pPr>
      <w:r w:rsidRPr="007314B5">
        <w:t>Authorization of 6 months may be granted in combination with nivolumab for treatment of pleural or peritoneal mesothelioma, including pericardial mesothelioma and tunica vaginalis testis mesothelioma.</w:t>
      </w:r>
    </w:p>
    <w:p w14:paraId="037882BD" w14:textId="4F9914A3" w:rsidR="00E346EB" w:rsidRPr="007314B5" w:rsidRDefault="00E346EB" w:rsidP="00E346EB">
      <w:pPr>
        <w:pStyle w:val="Heading3"/>
      </w:pPr>
      <w:r w:rsidRPr="007314B5">
        <w:t>Hepatocellular Carcinoma</w:t>
      </w:r>
      <w:r w:rsidRPr="007314B5">
        <w:rPr>
          <w:vertAlign w:val="superscript"/>
        </w:rPr>
        <w:t>1,2</w:t>
      </w:r>
    </w:p>
    <w:p w14:paraId="2666F803" w14:textId="77777777" w:rsidR="00FF4BF1" w:rsidRPr="00FF4BF1" w:rsidRDefault="00E346EB" w:rsidP="00E346EB">
      <w:pPr>
        <w:pStyle w:val="BodyText"/>
      </w:pPr>
      <w:r w:rsidRPr="007314B5">
        <w:t xml:space="preserve">Authorization of 6 months may be granted </w:t>
      </w:r>
      <w:r w:rsidR="00FF4BF1">
        <w:t xml:space="preserve">for treatment </w:t>
      </w:r>
      <w:r w:rsidR="00FF4BF1" w:rsidRPr="007314B5">
        <w:t xml:space="preserve">of hepatocellular carcinoma </w:t>
      </w:r>
      <w:r w:rsidRPr="007314B5">
        <w:t>in combination with nivolumab (for 4 doses followed by nivolumab as a single agent) for</w:t>
      </w:r>
      <w:r w:rsidR="00A04B19" w:rsidRPr="007314B5">
        <w:t xml:space="preserve"> </w:t>
      </w:r>
      <w:r w:rsidR="00FF4BF1" w:rsidRPr="00FF4BF1">
        <w:t>either of the following:</w:t>
      </w:r>
    </w:p>
    <w:p w14:paraId="4C65EF01" w14:textId="77777777" w:rsidR="00E012D1" w:rsidRPr="00E012D1" w:rsidRDefault="00FF4BF1" w:rsidP="00E012D1">
      <w:pPr>
        <w:pStyle w:val="ListParagraph"/>
        <w:rPr>
          <w:rFonts w:cs="Segoe UI"/>
        </w:rPr>
      </w:pPr>
      <w:r w:rsidRPr="00FF4BF1">
        <w:rPr>
          <w:rFonts w:cs="Segoe UI"/>
        </w:rPr>
        <w:t>F</w:t>
      </w:r>
      <w:r w:rsidRPr="00A05C92">
        <w:t>irst-line treatment of unresectable or extrahepatic/metastatic disease</w:t>
      </w:r>
    </w:p>
    <w:p w14:paraId="40E81FB4" w14:textId="76A25363" w:rsidR="00E346EB" w:rsidRPr="00E012D1" w:rsidRDefault="00FF4BF1" w:rsidP="00E012D1">
      <w:pPr>
        <w:pStyle w:val="ListParagraph"/>
        <w:rPr>
          <w:rFonts w:cs="Segoe UI"/>
        </w:rPr>
      </w:pPr>
      <w:r>
        <w:t>S</w:t>
      </w:r>
      <w:r w:rsidR="00A04B19" w:rsidRPr="007314B5">
        <w:t>ubsequent</w:t>
      </w:r>
      <w:r w:rsidR="00E346EB" w:rsidRPr="007314B5">
        <w:t xml:space="preserve"> treatment</w:t>
      </w:r>
    </w:p>
    <w:p w14:paraId="24151B40" w14:textId="6FA5436B" w:rsidR="00E346EB" w:rsidRPr="007314B5" w:rsidRDefault="00E346EB" w:rsidP="00E346EB">
      <w:pPr>
        <w:pStyle w:val="Heading3"/>
      </w:pPr>
      <w:r w:rsidRPr="007314B5">
        <w:t>Small Bowel Adenocarcinoma</w:t>
      </w:r>
      <w:r w:rsidRPr="007314B5">
        <w:rPr>
          <w:vertAlign w:val="superscript"/>
        </w:rPr>
        <w:t>2</w:t>
      </w:r>
    </w:p>
    <w:p w14:paraId="553F46DF" w14:textId="3326B4E3" w:rsidR="00E346EB" w:rsidRPr="00E012D1" w:rsidRDefault="00E346EB" w:rsidP="00E012D1">
      <w:pPr>
        <w:pStyle w:val="BodyText"/>
        <w:rPr>
          <w:rFonts w:cs="Segoe UI"/>
        </w:rPr>
      </w:pPr>
      <w:r w:rsidRPr="007314B5">
        <w:t xml:space="preserve">Authorization of 6 months may be granted in combination with nivolumab (for 4 doses followed by nivolumab as a single agent) for treatment of </w:t>
      </w:r>
      <w:r w:rsidR="00276745" w:rsidRPr="007314B5">
        <w:t xml:space="preserve">unresectable, medically inoperable, </w:t>
      </w:r>
      <w:r w:rsidRPr="007314B5">
        <w:t>advanced or metastatic small bowel adenocarcinoma for microsatellite-instability high (MSI-H), mismatch repair deficient (dMMR) or polymerase epsilon/delta (POLE/POLD1) tumors</w:t>
      </w:r>
      <w:r w:rsidR="00981D91" w:rsidRPr="007314B5">
        <w:t xml:space="preserve"> with ultra-hypermutated phenotype (e.g., tumor mutational burden (TMB) &gt; 50 mut/Mb)</w:t>
      </w:r>
      <w:r w:rsidRPr="007314B5">
        <w:t>.</w:t>
      </w:r>
    </w:p>
    <w:p w14:paraId="778EC056" w14:textId="6A953CF5" w:rsidR="00E346EB" w:rsidRPr="007314B5" w:rsidRDefault="00E346EB" w:rsidP="00E346EB">
      <w:pPr>
        <w:pStyle w:val="Heading3"/>
      </w:pPr>
      <w:r w:rsidRPr="007314B5">
        <w:t>Ampullary Adenocarcinoma</w:t>
      </w:r>
      <w:r w:rsidRPr="007314B5">
        <w:rPr>
          <w:vertAlign w:val="superscript"/>
        </w:rPr>
        <w:t>2</w:t>
      </w:r>
    </w:p>
    <w:p w14:paraId="4B126082" w14:textId="70BD9710" w:rsidR="00E346EB" w:rsidRPr="00E012D1" w:rsidRDefault="00E346EB" w:rsidP="00E012D1">
      <w:pPr>
        <w:pStyle w:val="BodyText"/>
        <w:rPr>
          <w:rFonts w:cs="Segoe UI"/>
        </w:rPr>
      </w:pPr>
      <w:r w:rsidRPr="007314B5">
        <w:t>Authorization of 6 months may be granted in combination with nivolumab (for 4 doses followed by nivolumab as a single agent) for treatment of progressive or metastatic microsatellite instability-high (MSI-H) or mismatch repair deficient (</w:t>
      </w:r>
      <w:proofErr w:type="spellStart"/>
      <w:r w:rsidRPr="007314B5">
        <w:t>dMMR</w:t>
      </w:r>
      <w:proofErr w:type="spellEnd"/>
      <w:r w:rsidRPr="007314B5">
        <w:t>) ampullary adenocarcinoma.</w:t>
      </w:r>
    </w:p>
    <w:p w14:paraId="1B0D2E1A" w14:textId="7AE39B29" w:rsidR="00E346EB" w:rsidRPr="007314B5" w:rsidRDefault="00E346EB" w:rsidP="00E346EB">
      <w:pPr>
        <w:pStyle w:val="Heading3"/>
      </w:pPr>
      <w:r w:rsidRPr="007314B5">
        <w:t>Esophageal and Esophagogastric Junction Cancers</w:t>
      </w:r>
      <w:r w:rsidRPr="007314B5">
        <w:rPr>
          <w:vertAlign w:val="superscript"/>
        </w:rPr>
        <w:t>1,2</w:t>
      </w:r>
    </w:p>
    <w:p w14:paraId="63AE4AE0" w14:textId="2340BAE3" w:rsidR="00E346EB" w:rsidRPr="007314B5" w:rsidRDefault="00E346EB" w:rsidP="00021A77">
      <w:pPr>
        <w:pStyle w:val="ListParagraph"/>
      </w:pPr>
      <w:r w:rsidRPr="007314B5">
        <w:t>Authorization of 6 months may be granted in combination with nivolumab for the treatment of esophageal or esophagogastric junction cancer in members who are not surgical candidates or have unresectable locally advanced, recurrent or metastatic disease</w:t>
      </w:r>
      <w:r w:rsidR="00FF4BF1">
        <w:t xml:space="preserve"> and PD-L1 </w:t>
      </w:r>
      <w:r w:rsidR="00FF4BF1">
        <w:rPr>
          <w:rFonts w:ascii="Calibri" w:hAnsi="Calibri" w:cs="Calibri"/>
        </w:rPr>
        <w:t>≥</w:t>
      </w:r>
      <w:r w:rsidR="00FF4BF1">
        <w:t xml:space="preserve"> 1</w:t>
      </w:r>
      <w:r w:rsidRPr="007314B5">
        <w:t>.</w:t>
      </w:r>
    </w:p>
    <w:p w14:paraId="307B4C64" w14:textId="21C9C89B" w:rsidR="00E346EB" w:rsidRPr="007314B5" w:rsidRDefault="00E346EB" w:rsidP="00021A77">
      <w:pPr>
        <w:pStyle w:val="ListParagraph"/>
      </w:pPr>
      <w:r w:rsidRPr="007314B5">
        <w:t>Authorization of 6 months may be granted in combination with nivolumab for treatment of esophageal or esophagogastric junction adenocarcinoma if tumor is microsatellite instability-high (MSI-H) or mismatch repair deficient (dMMR).</w:t>
      </w:r>
    </w:p>
    <w:p w14:paraId="052E6A14" w14:textId="0DCCF22D" w:rsidR="00E346EB" w:rsidRPr="007314B5" w:rsidRDefault="00C05FF1" w:rsidP="00C05FF1">
      <w:pPr>
        <w:pStyle w:val="ListParagraph"/>
      </w:pPr>
      <w:r w:rsidRPr="007314B5">
        <w:lastRenderedPageBreak/>
        <w:t xml:space="preserve">Authorization of 6 months may be granted for induction therapy for relieving dysphagia in combination with nivolumab for members </w:t>
      </w:r>
      <w:r w:rsidR="00FF4BF1">
        <w:t xml:space="preserve">with PD-L1 </w:t>
      </w:r>
      <w:r w:rsidR="00FF4BF1">
        <w:rPr>
          <w:rFonts w:ascii="Calibri" w:hAnsi="Calibri" w:cs="Calibri"/>
        </w:rPr>
        <w:t>≥</w:t>
      </w:r>
      <w:r w:rsidR="00FF4BF1">
        <w:t xml:space="preserve"> 1 </w:t>
      </w:r>
      <w:r w:rsidRPr="007314B5">
        <w:t>planned for esophagectomy.</w:t>
      </w:r>
      <w:r w:rsidRPr="007314B5">
        <w:rPr>
          <w:rFonts w:ascii="Arial" w:hAnsi="Arial"/>
          <w:sz w:val="20"/>
        </w:rPr>
        <w:t> </w:t>
      </w:r>
      <w:r w:rsidR="00E346EB" w:rsidRPr="007314B5">
        <w:rPr>
          <w:rFonts w:ascii="Arial" w:hAnsi="Arial"/>
          <w:sz w:val="20"/>
        </w:rPr>
        <w:t> </w:t>
      </w:r>
    </w:p>
    <w:p w14:paraId="60A83B42" w14:textId="20CAD3E6" w:rsidR="00E346EB" w:rsidRPr="007314B5" w:rsidRDefault="00E346EB" w:rsidP="00E346EB">
      <w:pPr>
        <w:pStyle w:val="Heading3"/>
      </w:pPr>
      <w:r w:rsidRPr="007314B5">
        <w:t>Gastric Cancer</w:t>
      </w:r>
      <w:r w:rsidRPr="007314B5">
        <w:rPr>
          <w:vertAlign w:val="superscript"/>
        </w:rPr>
        <w:t>2,5</w:t>
      </w:r>
    </w:p>
    <w:p w14:paraId="2233F4F4" w14:textId="6C86B5DA" w:rsidR="00E346EB" w:rsidRPr="007314B5" w:rsidRDefault="00E346EB" w:rsidP="00A05C92">
      <w:pPr>
        <w:rPr>
          <w:rFonts w:ascii="Segoe UI" w:hAnsi="Segoe UI" w:cs="Segoe UI"/>
          <w:sz w:val="18"/>
          <w:szCs w:val="18"/>
        </w:rPr>
      </w:pPr>
      <w:bookmarkStart w:id="3" w:name="_Hlk184990519"/>
      <w:r w:rsidRPr="007314B5">
        <w:t xml:space="preserve">Authorization of 6 months may be granted </w:t>
      </w:r>
      <w:bookmarkEnd w:id="3"/>
      <w:r w:rsidRPr="007314B5">
        <w:t>in combination with nivolumab for treatment of gastric adenocarcinoma if tumor is microsatellite instability-high (MSI-H) or mismatch repair deficient (dMMR).</w:t>
      </w:r>
    </w:p>
    <w:p w14:paraId="3E4900FE" w14:textId="46D2CCCB" w:rsidR="00E346EB" w:rsidRPr="007314B5" w:rsidRDefault="00E346EB" w:rsidP="00E346EB">
      <w:pPr>
        <w:pStyle w:val="Heading3"/>
      </w:pPr>
      <w:r w:rsidRPr="007314B5">
        <w:t>Kaposi Sarcoma</w:t>
      </w:r>
      <w:r w:rsidRPr="007314B5">
        <w:rPr>
          <w:vertAlign w:val="superscript"/>
        </w:rPr>
        <w:t>2</w:t>
      </w:r>
    </w:p>
    <w:p w14:paraId="58244621" w14:textId="7A949967" w:rsidR="00E346EB" w:rsidRPr="007314B5" w:rsidRDefault="00E346EB" w:rsidP="00080D70">
      <w:pPr>
        <w:pStyle w:val="BodyText"/>
        <w:rPr>
          <w:rFonts w:cs="Segoe UI"/>
        </w:rPr>
      </w:pPr>
      <w:r w:rsidRPr="007314B5">
        <w:t>Authorization of 6 months may be granted in combination with nivolumab for subsequent treatment of relapsed/refractory Kaposi Sarcoma.</w:t>
      </w:r>
    </w:p>
    <w:p w14:paraId="02A33782" w14:textId="2D864F9D" w:rsidR="00E346EB" w:rsidRPr="007314B5" w:rsidRDefault="00E346EB" w:rsidP="00E346EB">
      <w:pPr>
        <w:pStyle w:val="Heading3"/>
      </w:pPr>
      <w:r w:rsidRPr="007314B5">
        <w:t>Bone Cancer</w:t>
      </w:r>
      <w:r w:rsidRPr="007314B5">
        <w:rPr>
          <w:vertAlign w:val="superscript"/>
        </w:rPr>
        <w:t>2</w:t>
      </w:r>
    </w:p>
    <w:p w14:paraId="4A952FB2" w14:textId="14A90F4E" w:rsidR="00E346EB" w:rsidRPr="007314B5" w:rsidRDefault="00E346EB" w:rsidP="00E346EB">
      <w:pPr>
        <w:pStyle w:val="BodyText"/>
        <w:rPr>
          <w:rFonts w:cs="Segoe UI"/>
        </w:rPr>
      </w:pPr>
      <w:r w:rsidRPr="007314B5">
        <w:t>Authorization of 6 months may be granted in combination with nivolumab for unresectable or metastatic disease when all of the following are met:</w:t>
      </w:r>
    </w:p>
    <w:p w14:paraId="5853A5B8" w14:textId="34BCF1F0" w:rsidR="00E346EB" w:rsidRPr="007314B5" w:rsidRDefault="00E346EB" w:rsidP="00021A77">
      <w:pPr>
        <w:pStyle w:val="ListParagraph"/>
      </w:pPr>
      <w:r w:rsidRPr="007314B5">
        <w:t>Disease has tumor mutation burden-high (TMB-H) [</w:t>
      </w:r>
      <w:r w:rsidRPr="007314B5">
        <w:rPr>
          <w:rFonts w:ascii="Arial" w:hAnsi="Arial"/>
        </w:rPr>
        <w:t>≥</w:t>
      </w:r>
      <w:r w:rsidRPr="007314B5">
        <w:t>10 mutations/</w:t>
      </w:r>
      <w:proofErr w:type="spellStart"/>
      <w:r w:rsidRPr="007314B5">
        <w:t>megabase</w:t>
      </w:r>
      <w:proofErr w:type="spellEnd"/>
      <w:r w:rsidRPr="007314B5">
        <w:t xml:space="preserve"> (mut/Mb)] tumors</w:t>
      </w:r>
    </w:p>
    <w:p w14:paraId="2E5334A3" w14:textId="0FEFEF71" w:rsidR="00E346EB" w:rsidRPr="007314B5" w:rsidRDefault="00E346EB" w:rsidP="00080D70">
      <w:pPr>
        <w:pStyle w:val="ListParagraph"/>
        <w:rPr>
          <w:rFonts w:cs="Segoe UI"/>
        </w:rPr>
      </w:pPr>
      <w:r w:rsidRPr="007314B5">
        <w:t>Disease has progressed following prior treatment and has no satisfactory alternative treatment options</w:t>
      </w:r>
    </w:p>
    <w:p w14:paraId="4917109B" w14:textId="7F646F11" w:rsidR="00E346EB" w:rsidRPr="007314B5" w:rsidRDefault="00E346EB" w:rsidP="00E346EB">
      <w:pPr>
        <w:pStyle w:val="Heading3"/>
      </w:pPr>
      <w:r w:rsidRPr="007314B5">
        <w:t>Biliary Tract Cancer (Cholangiocarcinoma and Gallbladder Cancer)</w:t>
      </w:r>
      <w:r w:rsidRPr="007314B5">
        <w:rPr>
          <w:vertAlign w:val="superscript"/>
        </w:rPr>
        <w:t>2</w:t>
      </w:r>
    </w:p>
    <w:p w14:paraId="2A28AD77" w14:textId="0BE7F4D4" w:rsidR="00E346EB" w:rsidRPr="007314B5" w:rsidRDefault="00E346EB" w:rsidP="00EF463B">
      <w:pPr>
        <w:pStyle w:val="BodyText"/>
        <w:rPr>
          <w:rFonts w:cs="Segoe UI"/>
        </w:rPr>
      </w:pPr>
      <w:r w:rsidRPr="007314B5">
        <w:t>Authorization of 6 months may be granted in combination with nivolumab for</w:t>
      </w:r>
      <w:r w:rsidR="004C1C5E" w:rsidRPr="007314B5">
        <w:t xml:space="preserve"> subsequent</w:t>
      </w:r>
      <w:r w:rsidRPr="007314B5">
        <w:t xml:space="preserve"> </w:t>
      </w:r>
      <w:r w:rsidR="00B61BAD" w:rsidRPr="007314B5">
        <w:t xml:space="preserve">treatment of </w:t>
      </w:r>
      <w:r w:rsidRPr="007314B5">
        <w:t>unresectable or resected gross residual (R2) disease, or metastatic disease that is tumor mutation burden-high (TMB-H).</w:t>
      </w:r>
    </w:p>
    <w:p w14:paraId="58AB987C" w14:textId="4C986116" w:rsidR="00422CFD" w:rsidRPr="007314B5" w:rsidRDefault="00422CFD" w:rsidP="00EF463B">
      <w:r w:rsidRPr="007314B5">
        <w:t>Authorization of 6 months may be granted in combination with nivolumab for neoadjuvant treatment of resectable locoregionally advanced gallbladder cancer that is tumor mutation burden-high (TMB-H)</w:t>
      </w:r>
      <w:r w:rsidR="004C1C5E" w:rsidRPr="007314B5">
        <w:t xml:space="preserve"> when disease does not present as jaundice</w:t>
      </w:r>
      <w:r w:rsidRPr="007314B5">
        <w:t>.</w:t>
      </w:r>
    </w:p>
    <w:p w14:paraId="75936B4B" w14:textId="2EF68807" w:rsidR="00E346EB" w:rsidRPr="007314B5" w:rsidRDefault="00E346EB" w:rsidP="00E346EB">
      <w:pPr>
        <w:pStyle w:val="Heading3"/>
      </w:pPr>
      <w:r w:rsidRPr="007314B5">
        <w:t>Soft Tissue Sarcoma</w:t>
      </w:r>
      <w:r w:rsidRPr="007314B5">
        <w:rPr>
          <w:vertAlign w:val="superscript"/>
        </w:rPr>
        <w:t>2</w:t>
      </w:r>
    </w:p>
    <w:p w14:paraId="07EED725" w14:textId="78A1E3E5" w:rsidR="00E346EB" w:rsidRPr="007314B5" w:rsidRDefault="00E346EB" w:rsidP="00080D70">
      <w:pPr>
        <w:pStyle w:val="BodyText"/>
        <w:rPr>
          <w:rFonts w:cs="Segoe UI"/>
        </w:rPr>
      </w:pPr>
      <w:r w:rsidRPr="007314B5">
        <w:t>Authorization of 6 months may be granted in combination with nivolumab for treatment of extremity/body wall sarcomas, head/neck sarcomas and retroperitoneal/intra-abdominal sarcomas, rhabdomyosarcoma and angiosarcoma.</w:t>
      </w:r>
    </w:p>
    <w:p w14:paraId="70C065D4" w14:textId="75B0BFA0" w:rsidR="00E346EB" w:rsidRPr="007314B5" w:rsidRDefault="00E346EB" w:rsidP="00E346EB">
      <w:pPr>
        <w:pStyle w:val="Heading3"/>
      </w:pPr>
      <w:r w:rsidRPr="007314B5">
        <w:t>Merkel Cell Carcinoma</w:t>
      </w:r>
      <w:r w:rsidRPr="007314B5">
        <w:rPr>
          <w:vertAlign w:val="superscript"/>
        </w:rPr>
        <w:t>2,4</w:t>
      </w:r>
    </w:p>
    <w:p w14:paraId="200F697B" w14:textId="00FE6A68" w:rsidR="00E346EB" w:rsidRPr="00987D8B" w:rsidRDefault="00E346EB" w:rsidP="00E346EB">
      <w:pPr>
        <w:pStyle w:val="BodyText"/>
      </w:pPr>
      <w:r w:rsidRPr="007314B5">
        <w:t xml:space="preserve">Authorization of 6 months may be granted as a single agent or in combination with nivolumab (for 4 doses followed by nivolumab as a single agent) for treatment of </w:t>
      </w:r>
      <w:r w:rsidR="00412256" w:rsidRPr="00EF463B">
        <w:t xml:space="preserve">primary node positive regional, </w:t>
      </w:r>
      <w:r w:rsidRPr="007314B5">
        <w:t>unresectable, recurrent, or stage IV Merkel cell carcinoma.</w:t>
      </w:r>
    </w:p>
    <w:p w14:paraId="3A643EC3" w14:textId="18B44BA6" w:rsidR="00A501AC" w:rsidRPr="007314B5" w:rsidRDefault="00A501AC" w:rsidP="00A501AC">
      <w:pPr>
        <w:pStyle w:val="Heading2"/>
      </w:pPr>
      <w:r w:rsidRPr="007314B5">
        <w:lastRenderedPageBreak/>
        <w:t>Continuation of Therapy</w:t>
      </w:r>
    </w:p>
    <w:p w14:paraId="5A9E45D9" w14:textId="57C6CFC8" w:rsidR="00912EF3" w:rsidRPr="007314B5" w:rsidRDefault="00912EF3" w:rsidP="00912EF3">
      <w:pPr>
        <w:pStyle w:val="Heading3"/>
      </w:pPr>
      <w:r w:rsidRPr="007314B5">
        <w:t>Adjuvant Treatment of Melanoma</w:t>
      </w:r>
    </w:p>
    <w:p w14:paraId="325A792E" w14:textId="60E8300F" w:rsidR="00912EF3" w:rsidRPr="007314B5" w:rsidRDefault="00912EF3" w:rsidP="00080D70">
      <w:pPr>
        <w:pStyle w:val="BodyText"/>
        <w:rPr>
          <w:rFonts w:cs="Segoe UI"/>
        </w:rPr>
      </w:pPr>
      <w:r w:rsidRPr="007314B5">
        <w:t>Authorization of 6 months may be granted (up to 3 years) for continued treatment in members requesting reauthorization for adjuvant melanoma when there is no evidence of unacceptable toxicity or disease progression while on the current regimen.</w:t>
      </w:r>
    </w:p>
    <w:p w14:paraId="53E7B5B9" w14:textId="4688AAA2" w:rsidR="00912EF3" w:rsidRPr="007314B5" w:rsidRDefault="00912EF3" w:rsidP="00912EF3">
      <w:pPr>
        <w:pStyle w:val="Heading3"/>
      </w:pPr>
      <w:r w:rsidRPr="007314B5">
        <w:t>Cutaneous Melanoma, Renal Cell Carcinoma, Colorectal Cancer, Hepatocellular Cancer</w:t>
      </w:r>
    </w:p>
    <w:p w14:paraId="7B7C9E68" w14:textId="3D389535" w:rsidR="00912EF3" w:rsidRPr="007314B5" w:rsidRDefault="00912EF3" w:rsidP="00080D70">
      <w:pPr>
        <w:pStyle w:val="BodyText"/>
        <w:rPr>
          <w:rFonts w:cs="Segoe UI"/>
        </w:rPr>
      </w:pPr>
      <w:r w:rsidRPr="007314B5">
        <w:t>Authorization of 6 months may be granted (up to 4 doses maximum, if member has not already received 4 doses) for continued treatment in members requesting reauthorization for cutaneous melanoma, renal cell carcinoma, colorectal cancer, and hepatocellular cancer when there is no evidence of unacceptable toxicity or disease progression while on the current regimen.</w:t>
      </w:r>
    </w:p>
    <w:p w14:paraId="76D5FB62" w14:textId="3EC0DD42" w:rsidR="00912EF3" w:rsidRPr="007314B5" w:rsidRDefault="00912EF3" w:rsidP="00912EF3">
      <w:pPr>
        <w:pStyle w:val="Heading3"/>
      </w:pPr>
      <w:r w:rsidRPr="007314B5">
        <w:t>Non-Small Cell Lung Cancer, Gastric/ Esophageal/Esophagogastric Junction Cancers, or</w:t>
      </w:r>
      <w:r w:rsidRPr="007314B5">
        <w:rPr>
          <w:rFonts w:ascii="Arial" w:hAnsi="Arial"/>
          <w:b/>
          <w:sz w:val="20"/>
        </w:rPr>
        <w:t xml:space="preserve"> </w:t>
      </w:r>
      <w:r w:rsidRPr="007314B5">
        <w:t>Pleural Mesothelioma</w:t>
      </w:r>
    </w:p>
    <w:p w14:paraId="19B4028E" w14:textId="07F50000" w:rsidR="00912EF3" w:rsidRPr="007314B5" w:rsidRDefault="00912EF3" w:rsidP="00640889">
      <w:pPr>
        <w:pStyle w:val="BodyText"/>
        <w:rPr>
          <w:rFonts w:cs="Segoe UI"/>
        </w:rPr>
      </w:pPr>
      <w:r w:rsidRPr="007314B5">
        <w:t>Authorization of 6 months may be granted (up to 24 months total) for continued treatment in members requesting reauthorization for non-small cell lung cancer, esophageal cancer, or pleural mesothelioma, including pericardial mesothelioma and tunica vaginalis testis mesothelioma subtypes, when there is no evidence of unacceptable toxicity or disease progression while on the current regimen.</w:t>
      </w:r>
    </w:p>
    <w:p w14:paraId="0EEA7823" w14:textId="3687000E" w:rsidR="00CC5133" w:rsidRPr="007314B5" w:rsidRDefault="00CC5133" w:rsidP="00CC5133">
      <w:pPr>
        <w:pStyle w:val="Heading3"/>
      </w:pPr>
      <w:r w:rsidRPr="007314B5">
        <w:t xml:space="preserve">Biliary Tract Cancer </w:t>
      </w:r>
    </w:p>
    <w:p w14:paraId="540F81A1" w14:textId="150D8578" w:rsidR="00CC5133" w:rsidRPr="007314B5" w:rsidRDefault="00CC5133" w:rsidP="00CC5133">
      <w:pPr>
        <w:pStyle w:val="BodyText"/>
      </w:pPr>
      <w:r w:rsidRPr="007314B5">
        <w:t xml:space="preserve">Authorization of 6 months may be granted </w:t>
      </w:r>
      <w:bookmarkStart w:id="4" w:name="_Hlk184914984"/>
      <w:r w:rsidRPr="007314B5">
        <w:t>(for 2 to 6 months total for neoadjuvant treatment, and for up 24 months total for other clinical settings)</w:t>
      </w:r>
      <w:bookmarkEnd w:id="4"/>
      <w:r w:rsidRPr="007314B5">
        <w:t xml:space="preserve"> for continued treatment in members requesting reauthorization for biliary tract cancer when there is no evidence of unacceptable toxicity or disease progression while on the current regimen.</w:t>
      </w:r>
    </w:p>
    <w:p w14:paraId="29D2CFAA" w14:textId="5D0DBD5D" w:rsidR="00912EF3" w:rsidRPr="007314B5" w:rsidRDefault="00912EF3" w:rsidP="00912EF3">
      <w:pPr>
        <w:pStyle w:val="Heading3"/>
      </w:pPr>
      <w:r w:rsidRPr="007314B5">
        <w:t>All Other Indications</w:t>
      </w:r>
    </w:p>
    <w:p w14:paraId="2D135AD5" w14:textId="77777777" w:rsidR="00FD000B" w:rsidRDefault="00912EF3" w:rsidP="00BF045F">
      <w:pPr>
        <w:pStyle w:val="BodyText"/>
      </w:pPr>
      <w:r w:rsidRPr="007314B5">
        <w:t xml:space="preserve">Authorization of 6 months may be granted for continued treatment in members requesting </w:t>
      </w:r>
      <w:proofErr w:type="gramStart"/>
      <w:r w:rsidRPr="007314B5">
        <w:t>reauthorization</w:t>
      </w:r>
      <w:proofErr w:type="gramEnd"/>
      <w:r w:rsidRPr="007314B5">
        <w:t xml:space="preserve"> for all other indications listed in </w:t>
      </w:r>
      <w:r w:rsidR="00AA2A02" w:rsidRPr="007314B5">
        <w:t>the Coverage Criteria section</w:t>
      </w:r>
      <w:r w:rsidRPr="007314B5">
        <w:t xml:space="preserve"> when treatment guidelines do not specify a limited number of total doses (see above) and there is no evidence of unacceptable toxicity or disease progression while on the current regimen.</w:t>
      </w:r>
    </w:p>
    <w:p w14:paraId="0A275F8B" w14:textId="5FB454B8" w:rsidR="000E0438" w:rsidRPr="007314B5" w:rsidRDefault="000E0438" w:rsidP="000E0438">
      <w:pPr>
        <w:pStyle w:val="Heading2"/>
      </w:pPr>
      <w:r w:rsidRPr="007314B5">
        <w:lastRenderedPageBreak/>
        <w:t>References</w:t>
      </w:r>
    </w:p>
    <w:p w14:paraId="620E7443" w14:textId="73163DDB" w:rsidR="00BF045F" w:rsidRPr="007314B5" w:rsidRDefault="00BF045F" w:rsidP="005B4475">
      <w:pPr>
        <w:pStyle w:val="ReferenceOrdered"/>
      </w:pPr>
      <w:r w:rsidRPr="007314B5">
        <w:t xml:space="preserve">Yervoy [package insert]. Princeton, NJ: Bristol-Myers Squibb Company; </w:t>
      </w:r>
      <w:r w:rsidR="00FF4BF1">
        <w:t>May</w:t>
      </w:r>
      <w:r w:rsidR="00981D91" w:rsidRPr="007314B5">
        <w:t xml:space="preserve"> </w:t>
      </w:r>
      <w:r w:rsidRPr="007314B5">
        <w:t>202</w:t>
      </w:r>
      <w:r w:rsidR="00981D91" w:rsidRPr="007314B5">
        <w:t>5</w:t>
      </w:r>
      <w:r w:rsidRPr="007314B5">
        <w:t>.</w:t>
      </w:r>
    </w:p>
    <w:p w14:paraId="5F8F0B53" w14:textId="7D8316BC" w:rsidR="00BF045F" w:rsidRPr="007314B5" w:rsidRDefault="00BF045F" w:rsidP="005B4475">
      <w:pPr>
        <w:pStyle w:val="ReferenceOrdered"/>
      </w:pPr>
      <w:r w:rsidRPr="007314B5">
        <w:t>The NCCN Drugs &amp; Biologics Compendium 202</w:t>
      </w:r>
      <w:r w:rsidR="008A1F9A">
        <w:t>5</w:t>
      </w:r>
      <w:r w:rsidRPr="007314B5">
        <w:t xml:space="preserve"> National Comprehensive Cancer Network, Inc. Available at: http://www.nccn.org. Accessed</w:t>
      </w:r>
      <w:r w:rsidR="00FF4BF1">
        <w:t xml:space="preserve"> June</w:t>
      </w:r>
      <w:r w:rsidR="008A1F9A">
        <w:t xml:space="preserve"> 1</w:t>
      </w:r>
      <w:r w:rsidR="00FF4BF1">
        <w:t>6</w:t>
      </w:r>
      <w:r w:rsidRPr="007314B5">
        <w:t>, 202</w:t>
      </w:r>
      <w:r w:rsidR="008A1F9A">
        <w:t>5</w:t>
      </w:r>
      <w:r w:rsidRPr="007314B5">
        <w:t>.</w:t>
      </w:r>
    </w:p>
    <w:p w14:paraId="0DB258F4" w14:textId="71835F34" w:rsidR="00BF045F" w:rsidRPr="007314B5" w:rsidRDefault="00BF045F" w:rsidP="005B4475">
      <w:pPr>
        <w:pStyle w:val="ReferenceOrdered"/>
      </w:pPr>
      <w:r w:rsidRPr="007314B5">
        <w:t xml:space="preserve">National Comprehensive Cancer Network. NCCN Clinical Practice Guidelines in Oncology: Anal Carcinoma. Version </w:t>
      </w:r>
      <w:r w:rsidR="008A1F9A">
        <w:t>2</w:t>
      </w:r>
      <w:r w:rsidRPr="007314B5">
        <w:t>.202</w:t>
      </w:r>
      <w:r w:rsidR="00F028E9" w:rsidRPr="007314B5">
        <w:t>5</w:t>
      </w:r>
      <w:r w:rsidRPr="007314B5">
        <w:t xml:space="preserve">. https://www.nccn.org/professionals/physician_gls/pdf/anal.pdf Accessed </w:t>
      </w:r>
      <w:r w:rsidR="008A1F9A">
        <w:t>March 19</w:t>
      </w:r>
      <w:r w:rsidRPr="007314B5">
        <w:t>, 202</w:t>
      </w:r>
      <w:r w:rsidR="008A1F9A">
        <w:t>5</w:t>
      </w:r>
      <w:r w:rsidRPr="007314B5">
        <w:t>.</w:t>
      </w:r>
    </w:p>
    <w:p w14:paraId="0E0B4E67" w14:textId="023A4C3C" w:rsidR="00BF045F" w:rsidRPr="007314B5" w:rsidRDefault="00BF045F" w:rsidP="005B4475">
      <w:pPr>
        <w:pStyle w:val="ReferenceOrdered"/>
      </w:pPr>
      <w:r w:rsidRPr="007314B5">
        <w:t xml:space="preserve">Lexicomp [database online]. Hudson, OH: Lexi-Comp, Inc.; https://online.lexi.com/lco/action/home [available with subscription]. Accessed </w:t>
      </w:r>
      <w:r w:rsidR="008A1F9A">
        <w:t>March 19</w:t>
      </w:r>
      <w:r w:rsidRPr="007314B5">
        <w:t>, 202</w:t>
      </w:r>
      <w:r w:rsidR="008A1F9A">
        <w:t>5</w:t>
      </w:r>
      <w:r w:rsidRPr="007314B5">
        <w:t>.</w:t>
      </w:r>
    </w:p>
    <w:p w14:paraId="45CB7FF2" w14:textId="291DC03D" w:rsidR="002F585A" w:rsidRPr="007314B5" w:rsidRDefault="00BF045F" w:rsidP="008E08AE">
      <w:pPr>
        <w:pStyle w:val="ReferenceOrdered"/>
      </w:pPr>
      <w:r w:rsidRPr="007314B5">
        <w:t xml:space="preserve">National Comprehensive Cancer Network. NCCN Clinical Practice Guidelines in Oncology: Gastric Cancer Version </w:t>
      </w:r>
      <w:r w:rsidR="008A1F9A">
        <w:t>1</w:t>
      </w:r>
      <w:r w:rsidRPr="007314B5">
        <w:t>.202</w:t>
      </w:r>
      <w:r w:rsidR="008A1F9A">
        <w:t>5</w:t>
      </w:r>
      <w:r w:rsidRPr="007314B5">
        <w:t xml:space="preserve">. https://www.nccn.org/professionals/physician_gls/pdf/gastric.pdf Accessed </w:t>
      </w:r>
      <w:r w:rsidR="008A1F9A">
        <w:t>March 19</w:t>
      </w:r>
      <w:r w:rsidRPr="007314B5">
        <w:t>, 202</w:t>
      </w:r>
      <w:r w:rsidR="008A1F9A">
        <w:t>5</w:t>
      </w:r>
      <w:r w:rsidRPr="007314B5">
        <w:t>.</w:t>
      </w:r>
    </w:p>
    <w:sectPr w:rsidR="002F585A" w:rsidRPr="007314B5" w:rsidSect="00AA1E6A">
      <w:headerReference w:type="default" r:id="rId15"/>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17EC3" w14:textId="77777777" w:rsidR="00E45E59" w:rsidRDefault="00E45E59">
      <w:r>
        <w:separator/>
      </w:r>
    </w:p>
  </w:endnote>
  <w:endnote w:type="continuationSeparator" w:id="0">
    <w:p w14:paraId="1AD88B80" w14:textId="77777777" w:rsidR="00E45E59" w:rsidRDefault="00E45E59">
      <w:r>
        <w:continuationSeparator/>
      </w:r>
    </w:p>
  </w:endnote>
  <w:endnote w:type="continuationNotice" w:id="1">
    <w:p w14:paraId="598C0016" w14:textId="77777777" w:rsidR="00E45E59" w:rsidRDefault="00E45E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72AC38C5"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C6762C" w:rsidRPr="00C6762C">
      <w:rPr>
        <w:noProof/>
        <w:sz w:val="16"/>
        <w:szCs w:val="16"/>
      </w:rPr>
      <w:t>Yervoy</w:t>
    </w:r>
    <w:r w:rsidR="00C6762C" w:rsidRPr="00C6762C">
      <w:rPr>
        <w:rFonts w:cs="Arial"/>
        <w:noProof/>
        <w:sz w:val="16"/>
        <w:szCs w:val="16"/>
      </w:rPr>
      <w:t xml:space="preserve"> SGM 1796-A P2025b.docx</w:t>
    </w:r>
    <w:r w:rsidRPr="00EC47B6">
      <w:rPr>
        <w:rFonts w:cs="Arial"/>
        <w:noProof/>
        <w:sz w:val="16"/>
        <w:szCs w:val="16"/>
      </w:rPr>
      <w:fldChar w:fldCharType="end"/>
    </w:r>
    <w:r w:rsidRPr="00EC47B6">
      <w:rPr>
        <w:rFonts w:cs="Arial"/>
        <w:snapToGrid w:val="0"/>
        <w:color w:val="000000"/>
        <w:sz w:val="16"/>
      </w:rPr>
      <w:tab/>
      <w:t>© 202</w:t>
    </w:r>
    <w:r w:rsidR="006A0263">
      <w:rPr>
        <w:rFonts w:cs="Arial"/>
        <w:snapToGrid w:val="0"/>
        <w:color w:val="000000"/>
        <w:sz w:val="16"/>
      </w:rPr>
      <w:t>5</w:t>
    </w:r>
    <w:r w:rsidRPr="00EC47B6">
      <w:rPr>
        <w:rFonts w:cs="Arial"/>
        <w:snapToGrid w:val="0"/>
        <w:color w:val="000000"/>
        <w:sz w:val="16"/>
      </w:rPr>
      <w:t xml:space="preserve"> CVS Caremark. All rights reserved.</w:t>
    </w:r>
  </w:p>
  <w:p w14:paraId="61CF5924" w14:textId="01B04513"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46D63758" w:rsidR="00F75C81" w:rsidRPr="00AA1E6A" w:rsidRDefault="00C36B72" w:rsidP="00080D70">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53C763D5"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750FC1" w:rsidRPr="00750FC1">
      <w:rPr>
        <w:noProof/>
        <w:sz w:val="16"/>
        <w:szCs w:val="16"/>
      </w:rPr>
      <w:t>Yervoy</w:t>
    </w:r>
    <w:r w:rsidR="00750FC1" w:rsidRPr="00750FC1">
      <w:rPr>
        <w:rFonts w:cs="Arial"/>
        <w:noProof/>
        <w:sz w:val="16"/>
        <w:szCs w:val="16"/>
      </w:rPr>
      <w:t xml:space="preserve"> SGM 1796-A P2025b.docx</w:t>
    </w:r>
    <w:r w:rsidRPr="00EC47B6">
      <w:rPr>
        <w:rFonts w:cs="Arial"/>
        <w:noProof/>
        <w:sz w:val="16"/>
        <w:szCs w:val="16"/>
      </w:rPr>
      <w:fldChar w:fldCharType="end"/>
    </w:r>
    <w:r w:rsidRPr="00EC47B6">
      <w:rPr>
        <w:rFonts w:cs="Arial"/>
        <w:snapToGrid w:val="0"/>
        <w:color w:val="000000"/>
        <w:sz w:val="16"/>
      </w:rPr>
      <w:tab/>
      <w:t>© 202</w:t>
    </w:r>
    <w:r w:rsidR="006A0263">
      <w:rPr>
        <w:rFonts w:cs="Arial"/>
        <w:snapToGrid w:val="0"/>
        <w:color w:val="000000"/>
        <w:sz w:val="16"/>
      </w:rPr>
      <w:t>5</w:t>
    </w:r>
    <w:r w:rsidRPr="00EC47B6">
      <w:rPr>
        <w:rFonts w:cs="Arial"/>
        <w:snapToGrid w:val="0"/>
        <w:color w:val="000000"/>
        <w:sz w:val="16"/>
      </w:rPr>
      <w:t xml:space="preserve"> CVS Caremark. All rights reserved.</w:t>
    </w:r>
  </w:p>
  <w:p w14:paraId="39BFE579" w14:textId="260EDF71"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5A00C04E" w:rsidR="00ED04EC" w:rsidRPr="00F50D98" w:rsidRDefault="00F50D98" w:rsidP="00080D70">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996A3" w14:textId="77777777" w:rsidR="00E45E59" w:rsidRDefault="00E45E59">
      <w:r>
        <w:separator/>
      </w:r>
    </w:p>
  </w:footnote>
  <w:footnote w:type="continuationSeparator" w:id="0">
    <w:p w14:paraId="5C2378B6" w14:textId="77777777" w:rsidR="00E45E59" w:rsidRDefault="00E45E59">
      <w:r>
        <w:continuationSeparator/>
      </w:r>
    </w:p>
  </w:footnote>
  <w:footnote w:type="continuationNotice" w:id="1">
    <w:p w14:paraId="7C1AEBD2" w14:textId="77777777" w:rsidR="00E45E59" w:rsidRDefault="00E45E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3BD79C7B" w:rsidR="00ED04EC" w:rsidRPr="00AA1E6A" w:rsidRDefault="00ED04EC" w:rsidP="00ED04EC">
          <w:pPr>
            <w:pStyle w:val="Header"/>
            <w:rPr>
              <w:rFonts w:ascii="Arial" w:hAnsi="Arial" w:cs="Arial"/>
              <w:color w:val="FF0000"/>
              <w:sz w:val="16"/>
              <w:szCs w:val="16"/>
            </w:rPr>
          </w:pP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854230" w:rsidRPr="00ED04EC" w14:paraId="4C8941F5" w14:textId="77777777" w:rsidTr="0006569F">
      <w:trPr>
        <w:trHeight w:val="144"/>
        <w:jc w:val="right"/>
      </w:trPr>
      <w:tc>
        <w:tcPr>
          <w:tcW w:w="1854" w:type="dxa"/>
          <w:hideMark/>
        </w:tcPr>
        <w:p w14:paraId="104BF1D5" w14:textId="77777777" w:rsidR="00854230" w:rsidRPr="00EC47B6" w:rsidRDefault="00854230" w:rsidP="00ED04EC">
          <w:pPr>
            <w:pStyle w:val="Header"/>
            <w:rPr>
              <w:rFonts w:cs="Arial"/>
              <w:sz w:val="16"/>
              <w:szCs w:val="16"/>
            </w:rPr>
          </w:pPr>
          <w:r w:rsidRPr="00EC47B6">
            <w:rPr>
              <w:rFonts w:cs="Arial"/>
              <w:sz w:val="16"/>
              <w:szCs w:val="16"/>
            </w:rPr>
            <w:t>Reference number(s)</w:t>
          </w:r>
        </w:p>
      </w:tc>
    </w:tr>
    <w:tr w:rsidR="00854230" w:rsidRPr="00ED04EC" w14:paraId="4571B092" w14:textId="77777777" w:rsidTr="0006569F">
      <w:trPr>
        <w:trHeight w:val="378"/>
        <w:jc w:val="right"/>
      </w:trPr>
      <w:tc>
        <w:tcPr>
          <w:tcW w:w="1854" w:type="dxa"/>
          <w:hideMark/>
        </w:tcPr>
        <w:p w14:paraId="48B43C14" w14:textId="4194C661" w:rsidR="00854230" w:rsidRPr="003005B5" w:rsidRDefault="00835D08" w:rsidP="00A31E63">
          <w:pPr>
            <w:pStyle w:val="BodyText"/>
            <w:rPr>
              <w:rFonts w:ascii="Arial" w:hAnsi="Arial"/>
              <w:sz w:val="16"/>
              <w:szCs w:val="16"/>
            </w:rPr>
          </w:pPr>
          <w:r w:rsidRPr="003005B5">
            <w:rPr>
              <w:sz w:val="16"/>
              <w:szCs w:val="16"/>
              <w:shd w:val="clear" w:color="auto" w:fill="FFFFFF"/>
            </w:rPr>
            <w:t>1796-A</w:t>
          </w:r>
        </w:p>
      </w:tc>
    </w:tr>
  </w:tbl>
  <w:p w14:paraId="358F9AB2" w14:textId="77777777" w:rsidR="00854230" w:rsidRPr="00AA1E6A" w:rsidRDefault="00854230"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9F3A23"/>
    <w:multiLevelType w:val="hybridMultilevel"/>
    <w:tmpl w:val="158AB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7C4992"/>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F21E52"/>
    <w:multiLevelType w:val="hybridMultilevel"/>
    <w:tmpl w:val="BC243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2F7711"/>
    <w:multiLevelType w:val="hybridMultilevel"/>
    <w:tmpl w:val="4DE84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0"/>
  </w:num>
  <w:num w:numId="3" w16cid:durableId="611589570">
    <w:abstractNumId w:val="17"/>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5"/>
  </w:num>
  <w:num w:numId="17" w16cid:durableId="2128498676">
    <w:abstractNumId w:val="22"/>
  </w:num>
  <w:num w:numId="18" w16cid:durableId="299724409">
    <w:abstractNumId w:val="18"/>
  </w:num>
  <w:num w:numId="19" w16cid:durableId="214585573">
    <w:abstractNumId w:val="13"/>
  </w:num>
  <w:num w:numId="20" w16cid:durableId="1066490929">
    <w:abstractNumId w:val="24"/>
  </w:num>
  <w:num w:numId="21" w16cid:durableId="1057241499">
    <w:abstractNumId w:val="14"/>
  </w:num>
  <w:num w:numId="22" w16cid:durableId="1270357994">
    <w:abstractNumId w:val="23"/>
  </w:num>
  <w:num w:numId="23" w16cid:durableId="2145463339">
    <w:abstractNumId w:val="19"/>
  </w:num>
  <w:num w:numId="24" w16cid:durableId="807741391">
    <w:abstractNumId w:val="21"/>
  </w:num>
  <w:num w:numId="25" w16cid:durableId="1724064888">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685"/>
    <w:rsid w:val="00020F76"/>
    <w:rsid w:val="0002111C"/>
    <w:rsid w:val="00021A0A"/>
    <w:rsid w:val="00021A77"/>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0D70"/>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F69"/>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6EDB"/>
    <w:rsid w:val="000B7167"/>
    <w:rsid w:val="000B71C5"/>
    <w:rsid w:val="000B7827"/>
    <w:rsid w:val="000B7CFC"/>
    <w:rsid w:val="000C1120"/>
    <w:rsid w:val="000C1550"/>
    <w:rsid w:val="000C2343"/>
    <w:rsid w:val="000C28E8"/>
    <w:rsid w:val="000C2F4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A48"/>
    <w:rsid w:val="000D5D4B"/>
    <w:rsid w:val="000E0438"/>
    <w:rsid w:val="000E095D"/>
    <w:rsid w:val="000E0C62"/>
    <w:rsid w:val="000E24FA"/>
    <w:rsid w:val="000E2ECC"/>
    <w:rsid w:val="000E37E4"/>
    <w:rsid w:val="000E3A1B"/>
    <w:rsid w:val="000E3DD4"/>
    <w:rsid w:val="000E65C5"/>
    <w:rsid w:val="000E6A17"/>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2D80"/>
    <w:rsid w:val="001344B1"/>
    <w:rsid w:val="00134671"/>
    <w:rsid w:val="0013477B"/>
    <w:rsid w:val="0013503B"/>
    <w:rsid w:val="001356EF"/>
    <w:rsid w:val="00136BE6"/>
    <w:rsid w:val="001370F9"/>
    <w:rsid w:val="00137657"/>
    <w:rsid w:val="00137792"/>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935"/>
    <w:rsid w:val="00165A99"/>
    <w:rsid w:val="001675AA"/>
    <w:rsid w:val="00170325"/>
    <w:rsid w:val="0017166C"/>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57BB"/>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64B8"/>
    <w:rsid w:val="001A7761"/>
    <w:rsid w:val="001B459A"/>
    <w:rsid w:val="001B4C8F"/>
    <w:rsid w:val="001B5232"/>
    <w:rsid w:val="001B6FFC"/>
    <w:rsid w:val="001B72C7"/>
    <w:rsid w:val="001C1C00"/>
    <w:rsid w:val="001C1C5D"/>
    <w:rsid w:val="001C2409"/>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355B"/>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0530"/>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1D9"/>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62BD"/>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42C"/>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745"/>
    <w:rsid w:val="00276AF9"/>
    <w:rsid w:val="00277212"/>
    <w:rsid w:val="002773DB"/>
    <w:rsid w:val="00277791"/>
    <w:rsid w:val="002777DF"/>
    <w:rsid w:val="002807CC"/>
    <w:rsid w:val="00280C69"/>
    <w:rsid w:val="00280EC5"/>
    <w:rsid w:val="00281A75"/>
    <w:rsid w:val="00281F6C"/>
    <w:rsid w:val="0028234F"/>
    <w:rsid w:val="0028452B"/>
    <w:rsid w:val="00284737"/>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3B79"/>
    <w:rsid w:val="002D49E5"/>
    <w:rsid w:val="002D4CDA"/>
    <w:rsid w:val="002D6257"/>
    <w:rsid w:val="002D6987"/>
    <w:rsid w:val="002E030E"/>
    <w:rsid w:val="002E06B0"/>
    <w:rsid w:val="002E15A0"/>
    <w:rsid w:val="002E1D9A"/>
    <w:rsid w:val="002E254D"/>
    <w:rsid w:val="002E362E"/>
    <w:rsid w:val="002E3C61"/>
    <w:rsid w:val="002E3D87"/>
    <w:rsid w:val="002E4FCE"/>
    <w:rsid w:val="002E5C63"/>
    <w:rsid w:val="002E6AE1"/>
    <w:rsid w:val="002E7264"/>
    <w:rsid w:val="002F1388"/>
    <w:rsid w:val="002F23BB"/>
    <w:rsid w:val="002F2FA8"/>
    <w:rsid w:val="002F311C"/>
    <w:rsid w:val="002F335A"/>
    <w:rsid w:val="002F585A"/>
    <w:rsid w:val="002F5F01"/>
    <w:rsid w:val="002F6300"/>
    <w:rsid w:val="0030016D"/>
    <w:rsid w:val="003005B5"/>
    <w:rsid w:val="00301731"/>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6A1"/>
    <w:rsid w:val="00315D6F"/>
    <w:rsid w:val="00316DC1"/>
    <w:rsid w:val="00320652"/>
    <w:rsid w:val="003213DE"/>
    <w:rsid w:val="00321446"/>
    <w:rsid w:val="00322EB1"/>
    <w:rsid w:val="00323534"/>
    <w:rsid w:val="003242E2"/>
    <w:rsid w:val="00324A71"/>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6EA3"/>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873B2"/>
    <w:rsid w:val="0039012A"/>
    <w:rsid w:val="003904B1"/>
    <w:rsid w:val="00390BD4"/>
    <w:rsid w:val="00391311"/>
    <w:rsid w:val="003915B9"/>
    <w:rsid w:val="00391A39"/>
    <w:rsid w:val="00391F5A"/>
    <w:rsid w:val="003936BB"/>
    <w:rsid w:val="00393961"/>
    <w:rsid w:val="003939AA"/>
    <w:rsid w:val="00394467"/>
    <w:rsid w:val="00395521"/>
    <w:rsid w:val="00395A71"/>
    <w:rsid w:val="00396A5B"/>
    <w:rsid w:val="00396D00"/>
    <w:rsid w:val="003A0693"/>
    <w:rsid w:val="003A2056"/>
    <w:rsid w:val="003A4B3A"/>
    <w:rsid w:val="003A5707"/>
    <w:rsid w:val="003A6459"/>
    <w:rsid w:val="003A7860"/>
    <w:rsid w:val="003A796A"/>
    <w:rsid w:val="003A7BB6"/>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D7F09"/>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0E5"/>
    <w:rsid w:val="003F61E0"/>
    <w:rsid w:val="003F641B"/>
    <w:rsid w:val="003F6B36"/>
    <w:rsid w:val="003F75BB"/>
    <w:rsid w:val="003F7A17"/>
    <w:rsid w:val="00401820"/>
    <w:rsid w:val="00402C8F"/>
    <w:rsid w:val="00402FED"/>
    <w:rsid w:val="00403087"/>
    <w:rsid w:val="004032A5"/>
    <w:rsid w:val="0040594C"/>
    <w:rsid w:val="00405C5D"/>
    <w:rsid w:val="00407C38"/>
    <w:rsid w:val="0041061B"/>
    <w:rsid w:val="00411195"/>
    <w:rsid w:val="00411413"/>
    <w:rsid w:val="00412256"/>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209A"/>
    <w:rsid w:val="0042222E"/>
    <w:rsid w:val="00422416"/>
    <w:rsid w:val="004226CD"/>
    <w:rsid w:val="00422766"/>
    <w:rsid w:val="00422CFD"/>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4B2F"/>
    <w:rsid w:val="004357BB"/>
    <w:rsid w:val="00435A60"/>
    <w:rsid w:val="00437BFC"/>
    <w:rsid w:val="00437D53"/>
    <w:rsid w:val="004405EB"/>
    <w:rsid w:val="0044080D"/>
    <w:rsid w:val="00440CEF"/>
    <w:rsid w:val="00441365"/>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656F"/>
    <w:rsid w:val="00497D66"/>
    <w:rsid w:val="004A0605"/>
    <w:rsid w:val="004A0803"/>
    <w:rsid w:val="004A0F44"/>
    <w:rsid w:val="004A153C"/>
    <w:rsid w:val="004A1A4D"/>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1C5E"/>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3589"/>
    <w:rsid w:val="004D4045"/>
    <w:rsid w:val="004D4171"/>
    <w:rsid w:val="004D4516"/>
    <w:rsid w:val="004D4B8D"/>
    <w:rsid w:val="004D4C72"/>
    <w:rsid w:val="004D4FFD"/>
    <w:rsid w:val="004D67AC"/>
    <w:rsid w:val="004D686D"/>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683"/>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3FE3"/>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28F"/>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475"/>
    <w:rsid w:val="005B496D"/>
    <w:rsid w:val="005B52C4"/>
    <w:rsid w:val="005C026B"/>
    <w:rsid w:val="005C194C"/>
    <w:rsid w:val="005C2667"/>
    <w:rsid w:val="005C295A"/>
    <w:rsid w:val="005C2C21"/>
    <w:rsid w:val="005C3B4F"/>
    <w:rsid w:val="005C44D1"/>
    <w:rsid w:val="005C52A6"/>
    <w:rsid w:val="005C602C"/>
    <w:rsid w:val="005C648F"/>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771"/>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653"/>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0889"/>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2672"/>
    <w:rsid w:val="00673184"/>
    <w:rsid w:val="00675422"/>
    <w:rsid w:val="006754FB"/>
    <w:rsid w:val="00675C7A"/>
    <w:rsid w:val="00675EC3"/>
    <w:rsid w:val="00676116"/>
    <w:rsid w:val="006801C0"/>
    <w:rsid w:val="0068254A"/>
    <w:rsid w:val="00682618"/>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0263"/>
    <w:rsid w:val="006A1D42"/>
    <w:rsid w:val="006A25D5"/>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57D"/>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CB1"/>
    <w:rsid w:val="00706FB2"/>
    <w:rsid w:val="00707218"/>
    <w:rsid w:val="007074F5"/>
    <w:rsid w:val="00711A79"/>
    <w:rsid w:val="007125BE"/>
    <w:rsid w:val="0071294F"/>
    <w:rsid w:val="00712EA4"/>
    <w:rsid w:val="00712F85"/>
    <w:rsid w:val="00714164"/>
    <w:rsid w:val="00714923"/>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843"/>
    <w:rsid w:val="0073079A"/>
    <w:rsid w:val="007314B5"/>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0FC1"/>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22CA"/>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35D08"/>
    <w:rsid w:val="008409AE"/>
    <w:rsid w:val="00840EA7"/>
    <w:rsid w:val="008428E1"/>
    <w:rsid w:val="00842F87"/>
    <w:rsid w:val="008432CC"/>
    <w:rsid w:val="00843CE4"/>
    <w:rsid w:val="0084410C"/>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3ADB"/>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774"/>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1F9A"/>
    <w:rsid w:val="008A3907"/>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8AE"/>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D99"/>
    <w:rsid w:val="00910119"/>
    <w:rsid w:val="0091015A"/>
    <w:rsid w:val="00911462"/>
    <w:rsid w:val="0091183B"/>
    <w:rsid w:val="00911B53"/>
    <w:rsid w:val="00911B78"/>
    <w:rsid w:val="00912436"/>
    <w:rsid w:val="00912EF3"/>
    <w:rsid w:val="00914B83"/>
    <w:rsid w:val="009159E4"/>
    <w:rsid w:val="009166D3"/>
    <w:rsid w:val="00916BA8"/>
    <w:rsid w:val="0092167E"/>
    <w:rsid w:val="00921E32"/>
    <w:rsid w:val="00921E89"/>
    <w:rsid w:val="00922097"/>
    <w:rsid w:val="009220E9"/>
    <w:rsid w:val="00922DD4"/>
    <w:rsid w:val="00923E67"/>
    <w:rsid w:val="00923E96"/>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8B6"/>
    <w:rsid w:val="00934A46"/>
    <w:rsid w:val="00935BC3"/>
    <w:rsid w:val="00937266"/>
    <w:rsid w:val="00940AA9"/>
    <w:rsid w:val="00941264"/>
    <w:rsid w:val="0094296E"/>
    <w:rsid w:val="0094298C"/>
    <w:rsid w:val="0094553A"/>
    <w:rsid w:val="00947FC1"/>
    <w:rsid w:val="00950966"/>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5E47"/>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F49"/>
    <w:rsid w:val="009817FD"/>
    <w:rsid w:val="00981D91"/>
    <w:rsid w:val="00981EDA"/>
    <w:rsid w:val="00982365"/>
    <w:rsid w:val="009844BA"/>
    <w:rsid w:val="009857F1"/>
    <w:rsid w:val="00985A7D"/>
    <w:rsid w:val="00985EC8"/>
    <w:rsid w:val="00985F93"/>
    <w:rsid w:val="00986BF8"/>
    <w:rsid w:val="00986C82"/>
    <w:rsid w:val="00987D8B"/>
    <w:rsid w:val="00990E87"/>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11C"/>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A90"/>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4B19"/>
    <w:rsid w:val="00A051FE"/>
    <w:rsid w:val="00A05BED"/>
    <w:rsid w:val="00A05C06"/>
    <w:rsid w:val="00A05C6E"/>
    <w:rsid w:val="00A05C92"/>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17FD7"/>
    <w:rsid w:val="00A20159"/>
    <w:rsid w:val="00A2137A"/>
    <w:rsid w:val="00A21480"/>
    <w:rsid w:val="00A23BE3"/>
    <w:rsid w:val="00A24116"/>
    <w:rsid w:val="00A242BE"/>
    <w:rsid w:val="00A25BB6"/>
    <w:rsid w:val="00A278EB"/>
    <w:rsid w:val="00A30ABB"/>
    <w:rsid w:val="00A31E63"/>
    <w:rsid w:val="00A320D9"/>
    <w:rsid w:val="00A326BC"/>
    <w:rsid w:val="00A32801"/>
    <w:rsid w:val="00A33655"/>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336C"/>
    <w:rsid w:val="00A44E8E"/>
    <w:rsid w:val="00A45E92"/>
    <w:rsid w:val="00A46FB9"/>
    <w:rsid w:val="00A47199"/>
    <w:rsid w:val="00A501AC"/>
    <w:rsid w:val="00A503F6"/>
    <w:rsid w:val="00A50452"/>
    <w:rsid w:val="00A508DC"/>
    <w:rsid w:val="00A511FF"/>
    <w:rsid w:val="00A51559"/>
    <w:rsid w:val="00A51681"/>
    <w:rsid w:val="00A51EB0"/>
    <w:rsid w:val="00A521C3"/>
    <w:rsid w:val="00A52259"/>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7E4"/>
    <w:rsid w:val="00A80B85"/>
    <w:rsid w:val="00A80C6E"/>
    <w:rsid w:val="00A80EB5"/>
    <w:rsid w:val="00A82509"/>
    <w:rsid w:val="00A82DDB"/>
    <w:rsid w:val="00A83FA7"/>
    <w:rsid w:val="00A84AD9"/>
    <w:rsid w:val="00A84CB5"/>
    <w:rsid w:val="00A85D18"/>
    <w:rsid w:val="00A8608E"/>
    <w:rsid w:val="00A86211"/>
    <w:rsid w:val="00A86E33"/>
    <w:rsid w:val="00A87B90"/>
    <w:rsid w:val="00A87BF7"/>
    <w:rsid w:val="00A9069E"/>
    <w:rsid w:val="00A923EA"/>
    <w:rsid w:val="00A93B35"/>
    <w:rsid w:val="00A94105"/>
    <w:rsid w:val="00A946C6"/>
    <w:rsid w:val="00A94A0D"/>
    <w:rsid w:val="00A951DC"/>
    <w:rsid w:val="00A9526B"/>
    <w:rsid w:val="00A96256"/>
    <w:rsid w:val="00A96A09"/>
    <w:rsid w:val="00A96BA6"/>
    <w:rsid w:val="00AA0497"/>
    <w:rsid w:val="00AA0955"/>
    <w:rsid w:val="00AA1E6A"/>
    <w:rsid w:val="00AA2744"/>
    <w:rsid w:val="00AA2A02"/>
    <w:rsid w:val="00AA2DB2"/>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25"/>
    <w:rsid w:val="00B046B1"/>
    <w:rsid w:val="00B04801"/>
    <w:rsid w:val="00B0481F"/>
    <w:rsid w:val="00B04BD5"/>
    <w:rsid w:val="00B05534"/>
    <w:rsid w:val="00B06462"/>
    <w:rsid w:val="00B06E83"/>
    <w:rsid w:val="00B07922"/>
    <w:rsid w:val="00B10E8F"/>
    <w:rsid w:val="00B1104E"/>
    <w:rsid w:val="00B113E6"/>
    <w:rsid w:val="00B12088"/>
    <w:rsid w:val="00B1209A"/>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494"/>
    <w:rsid w:val="00B25C33"/>
    <w:rsid w:val="00B25E29"/>
    <w:rsid w:val="00B2662C"/>
    <w:rsid w:val="00B26C72"/>
    <w:rsid w:val="00B2719B"/>
    <w:rsid w:val="00B30C78"/>
    <w:rsid w:val="00B30D78"/>
    <w:rsid w:val="00B323A4"/>
    <w:rsid w:val="00B33563"/>
    <w:rsid w:val="00B3404B"/>
    <w:rsid w:val="00B34094"/>
    <w:rsid w:val="00B343F3"/>
    <w:rsid w:val="00B34FE4"/>
    <w:rsid w:val="00B36321"/>
    <w:rsid w:val="00B36326"/>
    <w:rsid w:val="00B40FC0"/>
    <w:rsid w:val="00B42A6D"/>
    <w:rsid w:val="00B42F63"/>
    <w:rsid w:val="00B43D43"/>
    <w:rsid w:val="00B44D6F"/>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BAD"/>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55"/>
    <w:rsid w:val="00B706AF"/>
    <w:rsid w:val="00B7134B"/>
    <w:rsid w:val="00B71665"/>
    <w:rsid w:val="00B72331"/>
    <w:rsid w:val="00B725FA"/>
    <w:rsid w:val="00B72DFD"/>
    <w:rsid w:val="00B7376A"/>
    <w:rsid w:val="00B73BA9"/>
    <w:rsid w:val="00B73FA7"/>
    <w:rsid w:val="00B74318"/>
    <w:rsid w:val="00B75C39"/>
    <w:rsid w:val="00B76A92"/>
    <w:rsid w:val="00B76BCF"/>
    <w:rsid w:val="00B76C81"/>
    <w:rsid w:val="00B77B78"/>
    <w:rsid w:val="00B8022C"/>
    <w:rsid w:val="00B80357"/>
    <w:rsid w:val="00B80AC8"/>
    <w:rsid w:val="00B81929"/>
    <w:rsid w:val="00B81FE6"/>
    <w:rsid w:val="00B8206A"/>
    <w:rsid w:val="00B827C8"/>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294"/>
    <w:rsid w:val="00BB0320"/>
    <w:rsid w:val="00BB2668"/>
    <w:rsid w:val="00BB3275"/>
    <w:rsid w:val="00BB3604"/>
    <w:rsid w:val="00BB379D"/>
    <w:rsid w:val="00BB3F6D"/>
    <w:rsid w:val="00BB4131"/>
    <w:rsid w:val="00BB5B7E"/>
    <w:rsid w:val="00BB6239"/>
    <w:rsid w:val="00BB6FE9"/>
    <w:rsid w:val="00BC02EF"/>
    <w:rsid w:val="00BC03A5"/>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81E"/>
    <w:rsid w:val="00BE1A32"/>
    <w:rsid w:val="00BE23F2"/>
    <w:rsid w:val="00BE2659"/>
    <w:rsid w:val="00BE2E87"/>
    <w:rsid w:val="00BE38A5"/>
    <w:rsid w:val="00BE3B53"/>
    <w:rsid w:val="00BE3BC7"/>
    <w:rsid w:val="00BE4562"/>
    <w:rsid w:val="00BE5586"/>
    <w:rsid w:val="00BE5599"/>
    <w:rsid w:val="00BE725B"/>
    <w:rsid w:val="00BE7721"/>
    <w:rsid w:val="00BF045F"/>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5FF1"/>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C20"/>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3013"/>
    <w:rsid w:val="00C53AA6"/>
    <w:rsid w:val="00C53D02"/>
    <w:rsid w:val="00C54C13"/>
    <w:rsid w:val="00C54D4A"/>
    <w:rsid w:val="00C54DF5"/>
    <w:rsid w:val="00C54E36"/>
    <w:rsid w:val="00C54E64"/>
    <w:rsid w:val="00C55C44"/>
    <w:rsid w:val="00C55C7E"/>
    <w:rsid w:val="00C575C4"/>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2C"/>
    <w:rsid w:val="00C676EA"/>
    <w:rsid w:val="00C700FE"/>
    <w:rsid w:val="00C72424"/>
    <w:rsid w:val="00C73E8B"/>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1317"/>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0A42"/>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133"/>
    <w:rsid w:val="00CC5559"/>
    <w:rsid w:val="00CC5E15"/>
    <w:rsid w:val="00CC63BD"/>
    <w:rsid w:val="00CC6AA8"/>
    <w:rsid w:val="00CC76FA"/>
    <w:rsid w:val="00CD03D0"/>
    <w:rsid w:val="00CD04D5"/>
    <w:rsid w:val="00CD1B5B"/>
    <w:rsid w:val="00CD3071"/>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0C"/>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834"/>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51D"/>
    <w:rsid w:val="00D25BE2"/>
    <w:rsid w:val="00D26363"/>
    <w:rsid w:val="00D30248"/>
    <w:rsid w:val="00D30661"/>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5E7C"/>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729"/>
    <w:rsid w:val="00D95A0D"/>
    <w:rsid w:val="00D95E62"/>
    <w:rsid w:val="00D97119"/>
    <w:rsid w:val="00D974E4"/>
    <w:rsid w:val="00D97A46"/>
    <w:rsid w:val="00D97B49"/>
    <w:rsid w:val="00DA05D5"/>
    <w:rsid w:val="00DA0924"/>
    <w:rsid w:val="00DA1AC2"/>
    <w:rsid w:val="00DA29A1"/>
    <w:rsid w:val="00DA2BE1"/>
    <w:rsid w:val="00DA3D4A"/>
    <w:rsid w:val="00DA420D"/>
    <w:rsid w:val="00DA52B5"/>
    <w:rsid w:val="00DA5F0A"/>
    <w:rsid w:val="00DA640C"/>
    <w:rsid w:val="00DA6BAC"/>
    <w:rsid w:val="00DA7269"/>
    <w:rsid w:val="00DB0090"/>
    <w:rsid w:val="00DB076B"/>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BF1"/>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313"/>
    <w:rsid w:val="00DD34C0"/>
    <w:rsid w:val="00DD4EA3"/>
    <w:rsid w:val="00DD5193"/>
    <w:rsid w:val="00DD5970"/>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1A0F"/>
    <w:rsid w:val="00DF5638"/>
    <w:rsid w:val="00DF5C9E"/>
    <w:rsid w:val="00DF63C8"/>
    <w:rsid w:val="00DF64CA"/>
    <w:rsid w:val="00DF6C92"/>
    <w:rsid w:val="00DF7FFE"/>
    <w:rsid w:val="00E00661"/>
    <w:rsid w:val="00E012D1"/>
    <w:rsid w:val="00E01444"/>
    <w:rsid w:val="00E01E80"/>
    <w:rsid w:val="00E02122"/>
    <w:rsid w:val="00E0384C"/>
    <w:rsid w:val="00E04264"/>
    <w:rsid w:val="00E046C3"/>
    <w:rsid w:val="00E050E1"/>
    <w:rsid w:val="00E057C3"/>
    <w:rsid w:val="00E057F8"/>
    <w:rsid w:val="00E06458"/>
    <w:rsid w:val="00E074AC"/>
    <w:rsid w:val="00E07603"/>
    <w:rsid w:val="00E07CE0"/>
    <w:rsid w:val="00E10293"/>
    <w:rsid w:val="00E105FD"/>
    <w:rsid w:val="00E11427"/>
    <w:rsid w:val="00E1169A"/>
    <w:rsid w:val="00E12598"/>
    <w:rsid w:val="00E13FD8"/>
    <w:rsid w:val="00E1542D"/>
    <w:rsid w:val="00E159FD"/>
    <w:rsid w:val="00E15EC4"/>
    <w:rsid w:val="00E165CF"/>
    <w:rsid w:val="00E166ED"/>
    <w:rsid w:val="00E1699F"/>
    <w:rsid w:val="00E20E34"/>
    <w:rsid w:val="00E212B1"/>
    <w:rsid w:val="00E21380"/>
    <w:rsid w:val="00E21AF6"/>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3280"/>
    <w:rsid w:val="00E346EB"/>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5E59"/>
    <w:rsid w:val="00E4640D"/>
    <w:rsid w:val="00E46738"/>
    <w:rsid w:val="00E46A0A"/>
    <w:rsid w:val="00E46A35"/>
    <w:rsid w:val="00E47A32"/>
    <w:rsid w:val="00E5021D"/>
    <w:rsid w:val="00E521C7"/>
    <w:rsid w:val="00E525F8"/>
    <w:rsid w:val="00E52B34"/>
    <w:rsid w:val="00E54271"/>
    <w:rsid w:val="00E5515A"/>
    <w:rsid w:val="00E552B0"/>
    <w:rsid w:val="00E55E94"/>
    <w:rsid w:val="00E5648B"/>
    <w:rsid w:val="00E56F98"/>
    <w:rsid w:val="00E60126"/>
    <w:rsid w:val="00E61AD9"/>
    <w:rsid w:val="00E62435"/>
    <w:rsid w:val="00E625E8"/>
    <w:rsid w:val="00E62DE9"/>
    <w:rsid w:val="00E630B7"/>
    <w:rsid w:val="00E634DA"/>
    <w:rsid w:val="00E6525C"/>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2BE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113"/>
    <w:rsid w:val="00EB65B3"/>
    <w:rsid w:val="00EB66EA"/>
    <w:rsid w:val="00EB6AEB"/>
    <w:rsid w:val="00EB711D"/>
    <w:rsid w:val="00EB73F2"/>
    <w:rsid w:val="00EC0CE4"/>
    <w:rsid w:val="00EC11FF"/>
    <w:rsid w:val="00EC26DE"/>
    <w:rsid w:val="00EC2860"/>
    <w:rsid w:val="00EC2D7B"/>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463B"/>
    <w:rsid w:val="00EF5295"/>
    <w:rsid w:val="00EF54D4"/>
    <w:rsid w:val="00EF581C"/>
    <w:rsid w:val="00EF6278"/>
    <w:rsid w:val="00EF7611"/>
    <w:rsid w:val="00EF7741"/>
    <w:rsid w:val="00EF78D0"/>
    <w:rsid w:val="00EF7C69"/>
    <w:rsid w:val="00F00080"/>
    <w:rsid w:val="00F00778"/>
    <w:rsid w:val="00F01821"/>
    <w:rsid w:val="00F01D9B"/>
    <w:rsid w:val="00F028E9"/>
    <w:rsid w:val="00F043C9"/>
    <w:rsid w:val="00F046A4"/>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1D0"/>
    <w:rsid w:val="00F16EAA"/>
    <w:rsid w:val="00F1748F"/>
    <w:rsid w:val="00F17594"/>
    <w:rsid w:val="00F17E4B"/>
    <w:rsid w:val="00F2074F"/>
    <w:rsid w:val="00F21995"/>
    <w:rsid w:val="00F21B41"/>
    <w:rsid w:val="00F23678"/>
    <w:rsid w:val="00F23747"/>
    <w:rsid w:val="00F24307"/>
    <w:rsid w:val="00F2497D"/>
    <w:rsid w:val="00F252EE"/>
    <w:rsid w:val="00F258D4"/>
    <w:rsid w:val="00F262B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47BD4"/>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5E08"/>
    <w:rsid w:val="00F760BB"/>
    <w:rsid w:val="00F76A97"/>
    <w:rsid w:val="00F772FF"/>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2E04"/>
    <w:rsid w:val="00F933A0"/>
    <w:rsid w:val="00F9341B"/>
    <w:rsid w:val="00F93676"/>
    <w:rsid w:val="00F93AC8"/>
    <w:rsid w:val="00F9431A"/>
    <w:rsid w:val="00F9519D"/>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866"/>
    <w:rsid w:val="00FB7C14"/>
    <w:rsid w:val="00FC0500"/>
    <w:rsid w:val="00FC0ACC"/>
    <w:rsid w:val="00FC0C3B"/>
    <w:rsid w:val="00FC0C3D"/>
    <w:rsid w:val="00FC14CF"/>
    <w:rsid w:val="00FC1AAD"/>
    <w:rsid w:val="00FC2ADB"/>
    <w:rsid w:val="00FC2E5F"/>
    <w:rsid w:val="00FC385D"/>
    <w:rsid w:val="00FC5AFB"/>
    <w:rsid w:val="00FC5D44"/>
    <w:rsid w:val="00FC6576"/>
    <w:rsid w:val="00FC740F"/>
    <w:rsid w:val="00FC7852"/>
    <w:rsid w:val="00FC7867"/>
    <w:rsid w:val="00FC78C0"/>
    <w:rsid w:val="00FD000B"/>
    <w:rsid w:val="00FD00F8"/>
    <w:rsid w:val="00FD060B"/>
    <w:rsid w:val="00FD0BBA"/>
    <w:rsid w:val="00FD0C22"/>
    <w:rsid w:val="00FD0C3B"/>
    <w:rsid w:val="00FD0EAA"/>
    <w:rsid w:val="00FD1068"/>
    <w:rsid w:val="00FD16D0"/>
    <w:rsid w:val="00FD1973"/>
    <w:rsid w:val="00FD1AFB"/>
    <w:rsid w:val="00FD26D2"/>
    <w:rsid w:val="00FD2879"/>
    <w:rsid w:val="00FD29AC"/>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4BF1"/>
    <w:rsid w:val="00FF530E"/>
    <w:rsid w:val="00FF5C3C"/>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0"/>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265FEB"/>
    <w:pPr>
      <w:keepNext/>
      <w:keepLines/>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265FEB"/>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qFormat/>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character" w:customStyle="1" w:styleId="tabchar">
    <w:name w:val="tabchar"/>
    <w:basedOn w:val="DefaultParagraphFont"/>
    <w:rsid w:val="00E346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4824218">
      <w:bodyDiv w:val="1"/>
      <w:marLeft w:val="0"/>
      <w:marRight w:val="0"/>
      <w:marTop w:val="0"/>
      <w:marBottom w:val="0"/>
      <w:divBdr>
        <w:top w:val="none" w:sz="0" w:space="0" w:color="auto"/>
        <w:left w:val="none" w:sz="0" w:space="0" w:color="auto"/>
        <w:bottom w:val="none" w:sz="0" w:space="0" w:color="auto"/>
        <w:right w:val="none" w:sz="0" w:space="0" w:color="auto"/>
      </w:divBdr>
      <w:divsChild>
        <w:div w:id="1434546807">
          <w:marLeft w:val="0"/>
          <w:marRight w:val="0"/>
          <w:marTop w:val="0"/>
          <w:marBottom w:val="0"/>
          <w:divBdr>
            <w:top w:val="none" w:sz="0" w:space="0" w:color="auto"/>
            <w:left w:val="none" w:sz="0" w:space="0" w:color="auto"/>
            <w:bottom w:val="none" w:sz="0" w:space="0" w:color="auto"/>
            <w:right w:val="none" w:sz="0" w:space="0" w:color="auto"/>
          </w:divBdr>
        </w:div>
        <w:div w:id="1726876778">
          <w:marLeft w:val="0"/>
          <w:marRight w:val="0"/>
          <w:marTop w:val="0"/>
          <w:marBottom w:val="0"/>
          <w:divBdr>
            <w:top w:val="none" w:sz="0" w:space="0" w:color="auto"/>
            <w:left w:val="none" w:sz="0" w:space="0" w:color="auto"/>
            <w:bottom w:val="none" w:sz="0" w:space="0" w:color="auto"/>
            <w:right w:val="none" w:sz="0" w:space="0" w:color="auto"/>
          </w:divBdr>
        </w:div>
        <w:div w:id="1463840761">
          <w:marLeft w:val="0"/>
          <w:marRight w:val="0"/>
          <w:marTop w:val="0"/>
          <w:marBottom w:val="0"/>
          <w:divBdr>
            <w:top w:val="none" w:sz="0" w:space="0" w:color="auto"/>
            <w:left w:val="none" w:sz="0" w:space="0" w:color="auto"/>
            <w:bottom w:val="none" w:sz="0" w:space="0" w:color="auto"/>
            <w:right w:val="none" w:sz="0" w:space="0" w:color="auto"/>
          </w:divBdr>
        </w:div>
        <w:div w:id="1391345994">
          <w:marLeft w:val="0"/>
          <w:marRight w:val="0"/>
          <w:marTop w:val="0"/>
          <w:marBottom w:val="0"/>
          <w:divBdr>
            <w:top w:val="none" w:sz="0" w:space="0" w:color="auto"/>
            <w:left w:val="none" w:sz="0" w:space="0" w:color="auto"/>
            <w:bottom w:val="none" w:sz="0" w:space="0" w:color="auto"/>
            <w:right w:val="none" w:sz="0" w:space="0" w:color="auto"/>
          </w:divBdr>
        </w:div>
        <w:div w:id="501625293">
          <w:marLeft w:val="0"/>
          <w:marRight w:val="0"/>
          <w:marTop w:val="0"/>
          <w:marBottom w:val="0"/>
          <w:divBdr>
            <w:top w:val="none" w:sz="0" w:space="0" w:color="auto"/>
            <w:left w:val="none" w:sz="0" w:space="0" w:color="auto"/>
            <w:bottom w:val="none" w:sz="0" w:space="0" w:color="auto"/>
            <w:right w:val="none" w:sz="0" w:space="0" w:color="auto"/>
          </w:divBdr>
        </w:div>
      </w:divsChild>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5210169">
      <w:bodyDiv w:val="1"/>
      <w:marLeft w:val="0"/>
      <w:marRight w:val="0"/>
      <w:marTop w:val="0"/>
      <w:marBottom w:val="0"/>
      <w:divBdr>
        <w:top w:val="none" w:sz="0" w:space="0" w:color="auto"/>
        <w:left w:val="none" w:sz="0" w:space="0" w:color="auto"/>
        <w:bottom w:val="none" w:sz="0" w:space="0" w:color="auto"/>
        <w:right w:val="none" w:sz="0" w:space="0" w:color="auto"/>
      </w:divBdr>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495419338">
      <w:bodyDiv w:val="1"/>
      <w:marLeft w:val="0"/>
      <w:marRight w:val="0"/>
      <w:marTop w:val="0"/>
      <w:marBottom w:val="0"/>
      <w:divBdr>
        <w:top w:val="none" w:sz="0" w:space="0" w:color="auto"/>
        <w:left w:val="none" w:sz="0" w:space="0" w:color="auto"/>
        <w:bottom w:val="none" w:sz="0" w:space="0" w:color="auto"/>
        <w:right w:val="none" w:sz="0" w:space="0" w:color="auto"/>
      </w:divBdr>
    </w:div>
    <w:div w:id="527908210">
      <w:bodyDiv w:val="1"/>
      <w:marLeft w:val="0"/>
      <w:marRight w:val="0"/>
      <w:marTop w:val="0"/>
      <w:marBottom w:val="0"/>
      <w:divBdr>
        <w:top w:val="none" w:sz="0" w:space="0" w:color="auto"/>
        <w:left w:val="none" w:sz="0" w:space="0" w:color="auto"/>
        <w:bottom w:val="none" w:sz="0" w:space="0" w:color="auto"/>
        <w:right w:val="none" w:sz="0" w:space="0" w:color="auto"/>
      </w:divBdr>
      <w:divsChild>
        <w:div w:id="1520199078">
          <w:marLeft w:val="0"/>
          <w:marRight w:val="0"/>
          <w:marTop w:val="0"/>
          <w:marBottom w:val="0"/>
          <w:divBdr>
            <w:top w:val="none" w:sz="0" w:space="0" w:color="auto"/>
            <w:left w:val="none" w:sz="0" w:space="0" w:color="auto"/>
            <w:bottom w:val="none" w:sz="0" w:space="0" w:color="auto"/>
            <w:right w:val="none" w:sz="0" w:space="0" w:color="auto"/>
          </w:divBdr>
          <w:divsChild>
            <w:div w:id="1586844247">
              <w:marLeft w:val="0"/>
              <w:marRight w:val="0"/>
              <w:marTop w:val="0"/>
              <w:marBottom w:val="0"/>
              <w:divBdr>
                <w:top w:val="none" w:sz="0" w:space="0" w:color="auto"/>
                <w:left w:val="none" w:sz="0" w:space="0" w:color="auto"/>
                <w:bottom w:val="none" w:sz="0" w:space="0" w:color="auto"/>
                <w:right w:val="none" w:sz="0" w:space="0" w:color="auto"/>
              </w:divBdr>
            </w:div>
            <w:div w:id="1905794352">
              <w:marLeft w:val="0"/>
              <w:marRight w:val="0"/>
              <w:marTop w:val="0"/>
              <w:marBottom w:val="0"/>
              <w:divBdr>
                <w:top w:val="none" w:sz="0" w:space="0" w:color="auto"/>
                <w:left w:val="none" w:sz="0" w:space="0" w:color="auto"/>
                <w:bottom w:val="none" w:sz="0" w:space="0" w:color="auto"/>
                <w:right w:val="none" w:sz="0" w:space="0" w:color="auto"/>
              </w:divBdr>
            </w:div>
            <w:div w:id="1478843432">
              <w:marLeft w:val="0"/>
              <w:marRight w:val="0"/>
              <w:marTop w:val="0"/>
              <w:marBottom w:val="0"/>
              <w:divBdr>
                <w:top w:val="none" w:sz="0" w:space="0" w:color="auto"/>
                <w:left w:val="none" w:sz="0" w:space="0" w:color="auto"/>
                <w:bottom w:val="none" w:sz="0" w:space="0" w:color="auto"/>
                <w:right w:val="none" w:sz="0" w:space="0" w:color="auto"/>
              </w:divBdr>
            </w:div>
            <w:div w:id="1577130859">
              <w:marLeft w:val="0"/>
              <w:marRight w:val="0"/>
              <w:marTop w:val="0"/>
              <w:marBottom w:val="0"/>
              <w:divBdr>
                <w:top w:val="none" w:sz="0" w:space="0" w:color="auto"/>
                <w:left w:val="none" w:sz="0" w:space="0" w:color="auto"/>
                <w:bottom w:val="none" w:sz="0" w:space="0" w:color="auto"/>
                <w:right w:val="none" w:sz="0" w:space="0" w:color="auto"/>
              </w:divBdr>
            </w:div>
            <w:div w:id="1591619736">
              <w:marLeft w:val="0"/>
              <w:marRight w:val="0"/>
              <w:marTop w:val="0"/>
              <w:marBottom w:val="0"/>
              <w:divBdr>
                <w:top w:val="none" w:sz="0" w:space="0" w:color="auto"/>
                <w:left w:val="none" w:sz="0" w:space="0" w:color="auto"/>
                <w:bottom w:val="none" w:sz="0" w:space="0" w:color="auto"/>
                <w:right w:val="none" w:sz="0" w:space="0" w:color="auto"/>
              </w:divBdr>
            </w:div>
          </w:divsChild>
        </w:div>
        <w:div w:id="579294805">
          <w:marLeft w:val="0"/>
          <w:marRight w:val="0"/>
          <w:marTop w:val="0"/>
          <w:marBottom w:val="0"/>
          <w:divBdr>
            <w:top w:val="none" w:sz="0" w:space="0" w:color="auto"/>
            <w:left w:val="none" w:sz="0" w:space="0" w:color="auto"/>
            <w:bottom w:val="none" w:sz="0" w:space="0" w:color="auto"/>
            <w:right w:val="none" w:sz="0" w:space="0" w:color="auto"/>
          </w:divBdr>
          <w:divsChild>
            <w:div w:id="1504928615">
              <w:marLeft w:val="0"/>
              <w:marRight w:val="0"/>
              <w:marTop w:val="0"/>
              <w:marBottom w:val="0"/>
              <w:divBdr>
                <w:top w:val="none" w:sz="0" w:space="0" w:color="auto"/>
                <w:left w:val="none" w:sz="0" w:space="0" w:color="auto"/>
                <w:bottom w:val="none" w:sz="0" w:space="0" w:color="auto"/>
                <w:right w:val="none" w:sz="0" w:space="0" w:color="auto"/>
              </w:divBdr>
            </w:div>
            <w:div w:id="1942950551">
              <w:marLeft w:val="0"/>
              <w:marRight w:val="0"/>
              <w:marTop w:val="0"/>
              <w:marBottom w:val="0"/>
              <w:divBdr>
                <w:top w:val="none" w:sz="0" w:space="0" w:color="auto"/>
                <w:left w:val="none" w:sz="0" w:space="0" w:color="auto"/>
                <w:bottom w:val="none" w:sz="0" w:space="0" w:color="auto"/>
                <w:right w:val="none" w:sz="0" w:space="0" w:color="auto"/>
              </w:divBdr>
            </w:div>
            <w:div w:id="686718313">
              <w:marLeft w:val="0"/>
              <w:marRight w:val="0"/>
              <w:marTop w:val="0"/>
              <w:marBottom w:val="0"/>
              <w:divBdr>
                <w:top w:val="none" w:sz="0" w:space="0" w:color="auto"/>
                <w:left w:val="none" w:sz="0" w:space="0" w:color="auto"/>
                <w:bottom w:val="none" w:sz="0" w:space="0" w:color="auto"/>
                <w:right w:val="none" w:sz="0" w:space="0" w:color="auto"/>
              </w:divBdr>
            </w:div>
            <w:div w:id="1489587701">
              <w:marLeft w:val="0"/>
              <w:marRight w:val="0"/>
              <w:marTop w:val="0"/>
              <w:marBottom w:val="0"/>
              <w:divBdr>
                <w:top w:val="none" w:sz="0" w:space="0" w:color="auto"/>
                <w:left w:val="none" w:sz="0" w:space="0" w:color="auto"/>
                <w:bottom w:val="none" w:sz="0" w:space="0" w:color="auto"/>
                <w:right w:val="none" w:sz="0" w:space="0" w:color="auto"/>
              </w:divBdr>
            </w:div>
            <w:div w:id="1262298139">
              <w:marLeft w:val="0"/>
              <w:marRight w:val="0"/>
              <w:marTop w:val="0"/>
              <w:marBottom w:val="0"/>
              <w:divBdr>
                <w:top w:val="none" w:sz="0" w:space="0" w:color="auto"/>
                <w:left w:val="none" w:sz="0" w:space="0" w:color="auto"/>
                <w:bottom w:val="none" w:sz="0" w:space="0" w:color="auto"/>
                <w:right w:val="none" w:sz="0" w:space="0" w:color="auto"/>
              </w:divBdr>
            </w:div>
            <w:div w:id="1051265530">
              <w:marLeft w:val="0"/>
              <w:marRight w:val="0"/>
              <w:marTop w:val="0"/>
              <w:marBottom w:val="0"/>
              <w:divBdr>
                <w:top w:val="none" w:sz="0" w:space="0" w:color="auto"/>
                <w:left w:val="none" w:sz="0" w:space="0" w:color="auto"/>
                <w:bottom w:val="none" w:sz="0" w:space="0" w:color="auto"/>
                <w:right w:val="none" w:sz="0" w:space="0" w:color="auto"/>
              </w:divBdr>
            </w:div>
            <w:div w:id="1377463471">
              <w:marLeft w:val="0"/>
              <w:marRight w:val="0"/>
              <w:marTop w:val="0"/>
              <w:marBottom w:val="0"/>
              <w:divBdr>
                <w:top w:val="none" w:sz="0" w:space="0" w:color="auto"/>
                <w:left w:val="none" w:sz="0" w:space="0" w:color="auto"/>
                <w:bottom w:val="none" w:sz="0" w:space="0" w:color="auto"/>
                <w:right w:val="none" w:sz="0" w:space="0" w:color="auto"/>
              </w:divBdr>
            </w:div>
            <w:div w:id="1375353624">
              <w:marLeft w:val="0"/>
              <w:marRight w:val="0"/>
              <w:marTop w:val="0"/>
              <w:marBottom w:val="0"/>
              <w:divBdr>
                <w:top w:val="none" w:sz="0" w:space="0" w:color="auto"/>
                <w:left w:val="none" w:sz="0" w:space="0" w:color="auto"/>
                <w:bottom w:val="none" w:sz="0" w:space="0" w:color="auto"/>
                <w:right w:val="none" w:sz="0" w:space="0" w:color="auto"/>
              </w:divBdr>
            </w:div>
            <w:div w:id="325280255">
              <w:marLeft w:val="0"/>
              <w:marRight w:val="0"/>
              <w:marTop w:val="0"/>
              <w:marBottom w:val="0"/>
              <w:divBdr>
                <w:top w:val="none" w:sz="0" w:space="0" w:color="auto"/>
                <w:left w:val="none" w:sz="0" w:space="0" w:color="auto"/>
                <w:bottom w:val="none" w:sz="0" w:space="0" w:color="auto"/>
                <w:right w:val="none" w:sz="0" w:space="0" w:color="auto"/>
              </w:divBdr>
            </w:div>
            <w:div w:id="171378030">
              <w:marLeft w:val="0"/>
              <w:marRight w:val="0"/>
              <w:marTop w:val="0"/>
              <w:marBottom w:val="0"/>
              <w:divBdr>
                <w:top w:val="none" w:sz="0" w:space="0" w:color="auto"/>
                <w:left w:val="none" w:sz="0" w:space="0" w:color="auto"/>
                <w:bottom w:val="none" w:sz="0" w:space="0" w:color="auto"/>
                <w:right w:val="none" w:sz="0" w:space="0" w:color="auto"/>
              </w:divBdr>
            </w:div>
            <w:div w:id="1887329570">
              <w:marLeft w:val="0"/>
              <w:marRight w:val="0"/>
              <w:marTop w:val="0"/>
              <w:marBottom w:val="0"/>
              <w:divBdr>
                <w:top w:val="none" w:sz="0" w:space="0" w:color="auto"/>
                <w:left w:val="none" w:sz="0" w:space="0" w:color="auto"/>
                <w:bottom w:val="none" w:sz="0" w:space="0" w:color="auto"/>
                <w:right w:val="none" w:sz="0" w:space="0" w:color="auto"/>
              </w:divBdr>
            </w:div>
            <w:div w:id="2034722913">
              <w:marLeft w:val="0"/>
              <w:marRight w:val="0"/>
              <w:marTop w:val="0"/>
              <w:marBottom w:val="0"/>
              <w:divBdr>
                <w:top w:val="none" w:sz="0" w:space="0" w:color="auto"/>
                <w:left w:val="none" w:sz="0" w:space="0" w:color="auto"/>
                <w:bottom w:val="none" w:sz="0" w:space="0" w:color="auto"/>
                <w:right w:val="none" w:sz="0" w:space="0" w:color="auto"/>
              </w:divBdr>
            </w:div>
            <w:div w:id="20328873">
              <w:marLeft w:val="0"/>
              <w:marRight w:val="0"/>
              <w:marTop w:val="0"/>
              <w:marBottom w:val="0"/>
              <w:divBdr>
                <w:top w:val="none" w:sz="0" w:space="0" w:color="auto"/>
                <w:left w:val="none" w:sz="0" w:space="0" w:color="auto"/>
                <w:bottom w:val="none" w:sz="0" w:space="0" w:color="auto"/>
                <w:right w:val="none" w:sz="0" w:space="0" w:color="auto"/>
              </w:divBdr>
            </w:div>
            <w:div w:id="789780261">
              <w:marLeft w:val="0"/>
              <w:marRight w:val="0"/>
              <w:marTop w:val="0"/>
              <w:marBottom w:val="0"/>
              <w:divBdr>
                <w:top w:val="none" w:sz="0" w:space="0" w:color="auto"/>
                <w:left w:val="none" w:sz="0" w:space="0" w:color="auto"/>
                <w:bottom w:val="none" w:sz="0" w:space="0" w:color="auto"/>
                <w:right w:val="none" w:sz="0" w:space="0" w:color="auto"/>
              </w:divBdr>
            </w:div>
            <w:div w:id="1877883681">
              <w:marLeft w:val="0"/>
              <w:marRight w:val="0"/>
              <w:marTop w:val="0"/>
              <w:marBottom w:val="0"/>
              <w:divBdr>
                <w:top w:val="none" w:sz="0" w:space="0" w:color="auto"/>
                <w:left w:val="none" w:sz="0" w:space="0" w:color="auto"/>
                <w:bottom w:val="none" w:sz="0" w:space="0" w:color="auto"/>
                <w:right w:val="none" w:sz="0" w:space="0" w:color="auto"/>
              </w:divBdr>
            </w:div>
            <w:div w:id="1762677697">
              <w:marLeft w:val="0"/>
              <w:marRight w:val="0"/>
              <w:marTop w:val="0"/>
              <w:marBottom w:val="0"/>
              <w:divBdr>
                <w:top w:val="none" w:sz="0" w:space="0" w:color="auto"/>
                <w:left w:val="none" w:sz="0" w:space="0" w:color="auto"/>
                <w:bottom w:val="none" w:sz="0" w:space="0" w:color="auto"/>
                <w:right w:val="none" w:sz="0" w:space="0" w:color="auto"/>
              </w:divBdr>
            </w:div>
            <w:div w:id="40444556">
              <w:marLeft w:val="0"/>
              <w:marRight w:val="0"/>
              <w:marTop w:val="0"/>
              <w:marBottom w:val="0"/>
              <w:divBdr>
                <w:top w:val="none" w:sz="0" w:space="0" w:color="auto"/>
                <w:left w:val="none" w:sz="0" w:space="0" w:color="auto"/>
                <w:bottom w:val="none" w:sz="0" w:space="0" w:color="auto"/>
                <w:right w:val="none" w:sz="0" w:space="0" w:color="auto"/>
              </w:divBdr>
            </w:div>
            <w:div w:id="1772703196">
              <w:marLeft w:val="0"/>
              <w:marRight w:val="0"/>
              <w:marTop w:val="0"/>
              <w:marBottom w:val="0"/>
              <w:divBdr>
                <w:top w:val="none" w:sz="0" w:space="0" w:color="auto"/>
                <w:left w:val="none" w:sz="0" w:space="0" w:color="auto"/>
                <w:bottom w:val="none" w:sz="0" w:space="0" w:color="auto"/>
                <w:right w:val="none" w:sz="0" w:space="0" w:color="auto"/>
              </w:divBdr>
            </w:div>
            <w:div w:id="67115787">
              <w:marLeft w:val="0"/>
              <w:marRight w:val="0"/>
              <w:marTop w:val="0"/>
              <w:marBottom w:val="0"/>
              <w:divBdr>
                <w:top w:val="none" w:sz="0" w:space="0" w:color="auto"/>
                <w:left w:val="none" w:sz="0" w:space="0" w:color="auto"/>
                <w:bottom w:val="none" w:sz="0" w:space="0" w:color="auto"/>
                <w:right w:val="none" w:sz="0" w:space="0" w:color="auto"/>
              </w:divBdr>
            </w:div>
            <w:div w:id="69278082">
              <w:marLeft w:val="0"/>
              <w:marRight w:val="0"/>
              <w:marTop w:val="0"/>
              <w:marBottom w:val="0"/>
              <w:divBdr>
                <w:top w:val="none" w:sz="0" w:space="0" w:color="auto"/>
                <w:left w:val="none" w:sz="0" w:space="0" w:color="auto"/>
                <w:bottom w:val="none" w:sz="0" w:space="0" w:color="auto"/>
                <w:right w:val="none" w:sz="0" w:space="0" w:color="auto"/>
              </w:divBdr>
            </w:div>
          </w:divsChild>
        </w:div>
        <w:div w:id="90901543">
          <w:marLeft w:val="0"/>
          <w:marRight w:val="0"/>
          <w:marTop w:val="0"/>
          <w:marBottom w:val="0"/>
          <w:divBdr>
            <w:top w:val="none" w:sz="0" w:space="0" w:color="auto"/>
            <w:left w:val="none" w:sz="0" w:space="0" w:color="auto"/>
            <w:bottom w:val="none" w:sz="0" w:space="0" w:color="auto"/>
            <w:right w:val="none" w:sz="0" w:space="0" w:color="auto"/>
          </w:divBdr>
          <w:divsChild>
            <w:div w:id="285546693">
              <w:marLeft w:val="0"/>
              <w:marRight w:val="0"/>
              <w:marTop w:val="0"/>
              <w:marBottom w:val="0"/>
              <w:divBdr>
                <w:top w:val="none" w:sz="0" w:space="0" w:color="auto"/>
                <w:left w:val="none" w:sz="0" w:space="0" w:color="auto"/>
                <w:bottom w:val="none" w:sz="0" w:space="0" w:color="auto"/>
                <w:right w:val="none" w:sz="0" w:space="0" w:color="auto"/>
              </w:divBdr>
            </w:div>
            <w:div w:id="1440686034">
              <w:marLeft w:val="0"/>
              <w:marRight w:val="0"/>
              <w:marTop w:val="0"/>
              <w:marBottom w:val="0"/>
              <w:divBdr>
                <w:top w:val="none" w:sz="0" w:space="0" w:color="auto"/>
                <w:left w:val="none" w:sz="0" w:space="0" w:color="auto"/>
                <w:bottom w:val="none" w:sz="0" w:space="0" w:color="auto"/>
                <w:right w:val="none" w:sz="0" w:space="0" w:color="auto"/>
              </w:divBdr>
            </w:div>
            <w:div w:id="707950634">
              <w:marLeft w:val="0"/>
              <w:marRight w:val="0"/>
              <w:marTop w:val="0"/>
              <w:marBottom w:val="0"/>
              <w:divBdr>
                <w:top w:val="none" w:sz="0" w:space="0" w:color="auto"/>
                <w:left w:val="none" w:sz="0" w:space="0" w:color="auto"/>
                <w:bottom w:val="none" w:sz="0" w:space="0" w:color="auto"/>
                <w:right w:val="none" w:sz="0" w:space="0" w:color="auto"/>
              </w:divBdr>
            </w:div>
            <w:div w:id="446971109">
              <w:marLeft w:val="0"/>
              <w:marRight w:val="0"/>
              <w:marTop w:val="0"/>
              <w:marBottom w:val="0"/>
              <w:divBdr>
                <w:top w:val="none" w:sz="0" w:space="0" w:color="auto"/>
                <w:left w:val="none" w:sz="0" w:space="0" w:color="auto"/>
                <w:bottom w:val="none" w:sz="0" w:space="0" w:color="auto"/>
                <w:right w:val="none" w:sz="0" w:space="0" w:color="auto"/>
              </w:divBdr>
            </w:div>
            <w:div w:id="990015770">
              <w:marLeft w:val="0"/>
              <w:marRight w:val="0"/>
              <w:marTop w:val="0"/>
              <w:marBottom w:val="0"/>
              <w:divBdr>
                <w:top w:val="none" w:sz="0" w:space="0" w:color="auto"/>
                <w:left w:val="none" w:sz="0" w:space="0" w:color="auto"/>
                <w:bottom w:val="none" w:sz="0" w:space="0" w:color="auto"/>
                <w:right w:val="none" w:sz="0" w:space="0" w:color="auto"/>
              </w:divBdr>
            </w:div>
            <w:div w:id="897714630">
              <w:marLeft w:val="0"/>
              <w:marRight w:val="0"/>
              <w:marTop w:val="0"/>
              <w:marBottom w:val="0"/>
              <w:divBdr>
                <w:top w:val="none" w:sz="0" w:space="0" w:color="auto"/>
                <w:left w:val="none" w:sz="0" w:space="0" w:color="auto"/>
                <w:bottom w:val="none" w:sz="0" w:space="0" w:color="auto"/>
                <w:right w:val="none" w:sz="0" w:space="0" w:color="auto"/>
              </w:divBdr>
            </w:div>
            <w:div w:id="75518217">
              <w:marLeft w:val="0"/>
              <w:marRight w:val="0"/>
              <w:marTop w:val="0"/>
              <w:marBottom w:val="0"/>
              <w:divBdr>
                <w:top w:val="none" w:sz="0" w:space="0" w:color="auto"/>
                <w:left w:val="none" w:sz="0" w:space="0" w:color="auto"/>
                <w:bottom w:val="none" w:sz="0" w:space="0" w:color="auto"/>
                <w:right w:val="none" w:sz="0" w:space="0" w:color="auto"/>
              </w:divBdr>
            </w:div>
            <w:div w:id="1724254432">
              <w:marLeft w:val="0"/>
              <w:marRight w:val="0"/>
              <w:marTop w:val="0"/>
              <w:marBottom w:val="0"/>
              <w:divBdr>
                <w:top w:val="none" w:sz="0" w:space="0" w:color="auto"/>
                <w:left w:val="none" w:sz="0" w:space="0" w:color="auto"/>
                <w:bottom w:val="none" w:sz="0" w:space="0" w:color="auto"/>
                <w:right w:val="none" w:sz="0" w:space="0" w:color="auto"/>
              </w:divBdr>
            </w:div>
            <w:div w:id="987779107">
              <w:marLeft w:val="0"/>
              <w:marRight w:val="0"/>
              <w:marTop w:val="0"/>
              <w:marBottom w:val="0"/>
              <w:divBdr>
                <w:top w:val="none" w:sz="0" w:space="0" w:color="auto"/>
                <w:left w:val="none" w:sz="0" w:space="0" w:color="auto"/>
                <w:bottom w:val="none" w:sz="0" w:space="0" w:color="auto"/>
                <w:right w:val="none" w:sz="0" w:space="0" w:color="auto"/>
              </w:divBdr>
            </w:div>
            <w:div w:id="2014140396">
              <w:marLeft w:val="0"/>
              <w:marRight w:val="0"/>
              <w:marTop w:val="0"/>
              <w:marBottom w:val="0"/>
              <w:divBdr>
                <w:top w:val="none" w:sz="0" w:space="0" w:color="auto"/>
                <w:left w:val="none" w:sz="0" w:space="0" w:color="auto"/>
                <w:bottom w:val="none" w:sz="0" w:space="0" w:color="auto"/>
                <w:right w:val="none" w:sz="0" w:space="0" w:color="auto"/>
              </w:divBdr>
            </w:div>
            <w:div w:id="342711105">
              <w:marLeft w:val="0"/>
              <w:marRight w:val="0"/>
              <w:marTop w:val="0"/>
              <w:marBottom w:val="0"/>
              <w:divBdr>
                <w:top w:val="none" w:sz="0" w:space="0" w:color="auto"/>
                <w:left w:val="none" w:sz="0" w:space="0" w:color="auto"/>
                <w:bottom w:val="none" w:sz="0" w:space="0" w:color="auto"/>
                <w:right w:val="none" w:sz="0" w:space="0" w:color="auto"/>
              </w:divBdr>
            </w:div>
            <w:div w:id="1191410411">
              <w:marLeft w:val="0"/>
              <w:marRight w:val="0"/>
              <w:marTop w:val="0"/>
              <w:marBottom w:val="0"/>
              <w:divBdr>
                <w:top w:val="none" w:sz="0" w:space="0" w:color="auto"/>
                <w:left w:val="none" w:sz="0" w:space="0" w:color="auto"/>
                <w:bottom w:val="none" w:sz="0" w:space="0" w:color="auto"/>
                <w:right w:val="none" w:sz="0" w:space="0" w:color="auto"/>
              </w:divBdr>
            </w:div>
            <w:div w:id="64030019">
              <w:marLeft w:val="0"/>
              <w:marRight w:val="0"/>
              <w:marTop w:val="0"/>
              <w:marBottom w:val="0"/>
              <w:divBdr>
                <w:top w:val="none" w:sz="0" w:space="0" w:color="auto"/>
                <w:left w:val="none" w:sz="0" w:space="0" w:color="auto"/>
                <w:bottom w:val="none" w:sz="0" w:space="0" w:color="auto"/>
                <w:right w:val="none" w:sz="0" w:space="0" w:color="auto"/>
              </w:divBdr>
            </w:div>
            <w:div w:id="928271024">
              <w:marLeft w:val="0"/>
              <w:marRight w:val="0"/>
              <w:marTop w:val="0"/>
              <w:marBottom w:val="0"/>
              <w:divBdr>
                <w:top w:val="none" w:sz="0" w:space="0" w:color="auto"/>
                <w:left w:val="none" w:sz="0" w:space="0" w:color="auto"/>
                <w:bottom w:val="none" w:sz="0" w:space="0" w:color="auto"/>
                <w:right w:val="none" w:sz="0" w:space="0" w:color="auto"/>
              </w:divBdr>
            </w:div>
            <w:div w:id="1772777274">
              <w:marLeft w:val="0"/>
              <w:marRight w:val="0"/>
              <w:marTop w:val="0"/>
              <w:marBottom w:val="0"/>
              <w:divBdr>
                <w:top w:val="none" w:sz="0" w:space="0" w:color="auto"/>
                <w:left w:val="none" w:sz="0" w:space="0" w:color="auto"/>
                <w:bottom w:val="none" w:sz="0" w:space="0" w:color="auto"/>
                <w:right w:val="none" w:sz="0" w:space="0" w:color="auto"/>
              </w:divBdr>
            </w:div>
            <w:div w:id="1578513540">
              <w:marLeft w:val="0"/>
              <w:marRight w:val="0"/>
              <w:marTop w:val="0"/>
              <w:marBottom w:val="0"/>
              <w:divBdr>
                <w:top w:val="none" w:sz="0" w:space="0" w:color="auto"/>
                <w:left w:val="none" w:sz="0" w:space="0" w:color="auto"/>
                <w:bottom w:val="none" w:sz="0" w:space="0" w:color="auto"/>
                <w:right w:val="none" w:sz="0" w:space="0" w:color="auto"/>
              </w:divBdr>
            </w:div>
            <w:div w:id="670570630">
              <w:marLeft w:val="0"/>
              <w:marRight w:val="0"/>
              <w:marTop w:val="0"/>
              <w:marBottom w:val="0"/>
              <w:divBdr>
                <w:top w:val="none" w:sz="0" w:space="0" w:color="auto"/>
                <w:left w:val="none" w:sz="0" w:space="0" w:color="auto"/>
                <w:bottom w:val="none" w:sz="0" w:space="0" w:color="auto"/>
                <w:right w:val="none" w:sz="0" w:space="0" w:color="auto"/>
              </w:divBdr>
            </w:div>
            <w:div w:id="1435445522">
              <w:marLeft w:val="0"/>
              <w:marRight w:val="0"/>
              <w:marTop w:val="0"/>
              <w:marBottom w:val="0"/>
              <w:divBdr>
                <w:top w:val="none" w:sz="0" w:space="0" w:color="auto"/>
                <w:left w:val="none" w:sz="0" w:space="0" w:color="auto"/>
                <w:bottom w:val="none" w:sz="0" w:space="0" w:color="auto"/>
                <w:right w:val="none" w:sz="0" w:space="0" w:color="auto"/>
              </w:divBdr>
            </w:div>
            <w:div w:id="990864341">
              <w:marLeft w:val="0"/>
              <w:marRight w:val="0"/>
              <w:marTop w:val="0"/>
              <w:marBottom w:val="0"/>
              <w:divBdr>
                <w:top w:val="none" w:sz="0" w:space="0" w:color="auto"/>
                <w:left w:val="none" w:sz="0" w:space="0" w:color="auto"/>
                <w:bottom w:val="none" w:sz="0" w:space="0" w:color="auto"/>
                <w:right w:val="none" w:sz="0" w:space="0" w:color="auto"/>
              </w:divBdr>
            </w:div>
            <w:div w:id="853493855">
              <w:marLeft w:val="0"/>
              <w:marRight w:val="0"/>
              <w:marTop w:val="0"/>
              <w:marBottom w:val="0"/>
              <w:divBdr>
                <w:top w:val="none" w:sz="0" w:space="0" w:color="auto"/>
                <w:left w:val="none" w:sz="0" w:space="0" w:color="auto"/>
                <w:bottom w:val="none" w:sz="0" w:space="0" w:color="auto"/>
                <w:right w:val="none" w:sz="0" w:space="0" w:color="auto"/>
              </w:divBdr>
            </w:div>
          </w:divsChild>
        </w:div>
        <w:div w:id="752093866">
          <w:marLeft w:val="0"/>
          <w:marRight w:val="0"/>
          <w:marTop w:val="0"/>
          <w:marBottom w:val="0"/>
          <w:divBdr>
            <w:top w:val="none" w:sz="0" w:space="0" w:color="auto"/>
            <w:left w:val="none" w:sz="0" w:space="0" w:color="auto"/>
            <w:bottom w:val="none" w:sz="0" w:space="0" w:color="auto"/>
            <w:right w:val="none" w:sz="0" w:space="0" w:color="auto"/>
          </w:divBdr>
          <w:divsChild>
            <w:div w:id="1039934746">
              <w:marLeft w:val="0"/>
              <w:marRight w:val="0"/>
              <w:marTop w:val="0"/>
              <w:marBottom w:val="0"/>
              <w:divBdr>
                <w:top w:val="none" w:sz="0" w:space="0" w:color="auto"/>
                <w:left w:val="none" w:sz="0" w:space="0" w:color="auto"/>
                <w:bottom w:val="none" w:sz="0" w:space="0" w:color="auto"/>
                <w:right w:val="none" w:sz="0" w:space="0" w:color="auto"/>
              </w:divBdr>
            </w:div>
            <w:div w:id="1503081039">
              <w:marLeft w:val="0"/>
              <w:marRight w:val="0"/>
              <w:marTop w:val="0"/>
              <w:marBottom w:val="0"/>
              <w:divBdr>
                <w:top w:val="none" w:sz="0" w:space="0" w:color="auto"/>
                <w:left w:val="none" w:sz="0" w:space="0" w:color="auto"/>
                <w:bottom w:val="none" w:sz="0" w:space="0" w:color="auto"/>
                <w:right w:val="none" w:sz="0" w:space="0" w:color="auto"/>
              </w:divBdr>
            </w:div>
            <w:div w:id="1143084301">
              <w:marLeft w:val="0"/>
              <w:marRight w:val="0"/>
              <w:marTop w:val="0"/>
              <w:marBottom w:val="0"/>
              <w:divBdr>
                <w:top w:val="none" w:sz="0" w:space="0" w:color="auto"/>
                <w:left w:val="none" w:sz="0" w:space="0" w:color="auto"/>
                <w:bottom w:val="none" w:sz="0" w:space="0" w:color="auto"/>
                <w:right w:val="none" w:sz="0" w:space="0" w:color="auto"/>
              </w:divBdr>
            </w:div>
            <w:div w:id="652098457">
              <w:marLeft w:val="0"/>
              <w:marRight w:val="0"/>
              <w:marTop w:val="0"/>
              <w:marBottom w:val="0"/>
              <w:divBdr>
                <w:top w:val="none" w:sz="0" w:space="0" w:color="auto"/>
                <w:left w:val="none" w:sz="0" w:space="0" w:color="auto"/>
                <w:bottom w:val="none" w:sz="0" w:space="0" w:color="auto"/>
                <w:right w:val="none" w:sz="0" w:space="0" w:color="auto"/>
              </w:divBdr>
            </w:div>
            <w:div w:id="1943999158">
              <w:marLeft w:val="0"/>
              <w:marRight w:val="0"/>
              <w:marTop w:val="0"/>
              <w:marBottom w:val="0"/>
              <w:divBdr>
                <w:top w:val="none" w:sz="0" w:space="0" w:color="auto"/>
                <w:left w:val="none" w:sz="0" w:space="0" w:color="auto"/>
                <w:bottom w:val="none" w:sz="0" w:space="0" w:color="auto"/>
                <w:right w:val="none" w:sz="0" w:space="0" w:color="auto"/>
              </w:divBdr>
            </w:div>
            <w:div w:id="1709644053">
              <w:marLeft w:val="0"/>
              <w:marRight w:val="0"/>
              <w:marTop w:val="0"/>
              <w:marBottom w:val="0"/>
              <w:divBdr>
                <w:top w:val="none" w:sz="0" w:space="0" w:color="auto"/>
                <w:left w:val="none" w:sz="0" w:space="0" w:color="auto"/>
                <w:bottom w:val="none" w:sz="0" w:space="0" w:color="auto"/>
                <w:right w:val="none" w:sz="0" w:space="0" w:color="auto"/>
              </w:divBdr>
            </w:div>
            <w:div w:id="1524241920">
              <w:marLeft w:val="0"/>
              <w:marRight w:val="0"/>
              <w:marTop w:val="0"/>
              <w:marBottom w:val="0"/>
              <w:divBdr>
                <w:top w:val="none" w:sz="0" w:space="0" w:color="auto"/>
                <w:left w:val="none" w:sz="0" w:space="0" w:color="auto"/>
                <w:bottom w:val="none" w:sz="0" w:space="0" w:color="auto"/>
                <w:right w:val="none" w:sz="0" w:space="0" w:color="auto"/>
              </w:divBdr>
            </w:div>
            <w:div w:id="572350047">
              <w:marLeft w:val="0"/>
              <w:marRight w:val="0"/>
              <w:marTop w:val="0"/>
              <w:marBottom w:val="0"/>
              <w:divBdr>
                <w:top w:val="none" w:sz="0" w:space="0" w:color="auto"/>
                <w:left w:val="none" w:sz="0" w:space="0" w:color="auto"/>
                <w:bottom w:val="none" w:sz="0" w:space="0" w:color="auto"/>
                <w:right w:val="none" w:sz="0" w:space="0" w:color="auto"/>
              </w:divBdr>
            </w:div>
            <w:div w:id="72892960">
              <w:marLeft w:val="0"/>
              <w:marRight w:val="0"/>
              <w:marTop w:val="0"/>
              <w:marBottom w:val="0"/>
              <w:divBdr>
                <w:top w:val="none" w:sz="0" w:space="0" w:color="auto"/>
                <w:left w:val="none" w:sz="0" w:space="0" w:color="auto"/>
                <w:bottom w:val="none" w:sz="0" w:space="0" w:color="auto"/>
                <w:right w:val="none" w:sz="0" w:space="0" w:color="auto"/>
              </w:divBdr>
            </w:div>
            <w:div w:id="1393654691">
              <w:marLeft w:val="0"/>
              <w:marRight w:val="0"/>
              <w:marTop w:val="0"/>
              <w:marBottom w:val="0"/>
              <w:divBdr>
                <w:top w:val="none" w:sz="0" w:space="0" w:color="auto"/>
                <w:left w:val="none" w:sz="0" w:space="0" w:color="auto"/>
                <w:bottom w:val="none" w:sz="0" w:space="0" w:color="auto"/>
                <w:right w:val="none" w:sz="0" w:space="0" w:color="auto"/>
              </w:divBdr>
            </w:div>
            <w:div w:id="877469350">
              <w:marLeft w:val="0"/>
              <w:marRight w:val="0"/>
              <w:marTop w:val="0"/>
              <w:marBottom w:val="0"/>
              <w:divBdr>
                <w:top w:val="none" w:sz="0" w:space="0" w:color="auto"/>
                <w:left w:val="none" w:sz="0" w:space="0" w:color="auto"/>
                <w:bottom w:val="none" w:sz="0" w:space="0" w:color="auto"/>
                <w:right w:val="none" w:sz="0" w:space="0" w:color="auto"/>
              </w:divBdr>
            </w:div>
            <w:div w:id="1265770233">
              <w:marLeft w:val="0"/>
              <w:marRight w:val="0"/>
              <w:marTop w:val="0"/>
              <w:marBottom w:val="0"/>
              <w:divBdr>
                <w:top w:val="none" w:sz="0" w:space="0" w:color="auto"/>
                <w:left w:val="none" w:sz="0" w:space="0" w:color="auto"/>
                <w:bottom w:val="none" w:sz="0" w:space="0" w:color="auto"/>
                <w:right w:val="none" w:sz="0" w:space="0" w:color="auto"/>
              </w:divBdr>
            </w:div>
            <w:div w:id="1340539940">
              <w:marLeft w:val="0"/>
              <w:marRight w:val="0"/>
              <w:marTop w:val="0"/>
              <w:marBottom w:val="0"/>
              <w:divBdr>
                <w:top w:val="none" w:sz="0" w:space="0" w:color="auto"/>
                <w:left w:val="none" w:sz="0" w:space="0" w:color="auto"/>
                <w:bottom w:val="none" w:sz="0" w:space="0" w:color="auto"/>
                <w:right w:val="none" w:sz="0" w:space="0" w:color="auto"/>
              </w:divBdr>
            </w:div>
            <w:div w:id="1959289031">
              <w:marLeft w:val="0"/>
              <w:marRight w:val="0"/>
              <w:marTop w:val="0"/>
              <w:marBottom w:val="0"/>
              <w:divBdr>
                <w:top w:val="none" w:sz="0" w:space="0" w:color="auto"/>
                <w:left w:val="none" w:sz="0" w:space="0" w:color="auto"/>
                <w:bottom w:val="none" w:sz="0" w:space="0" w:color="auto"/>
                <w:right w:val="none" w:sz="0" w:space="0" w:color="auto"/>
              </w:divBdr>
            </w:div>
            <w:div w:id="170455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74576652">
      <w:bodyDiv w:val="1"/>
      <w:marLeft w:val="0"/>
      <w:marRight w:val="0"/>
      <w:marTop w:val="0"/>
      <w:marBottom w:val="0"/>
      <w:divBdr>
        <w:top w:val="none" w:sz="0" w:space="0" w:color="auto"/>
        <w:left w:val="none" w:sz="0" w:space="0" w:color="auto"/>
        <w:bottom w:val="none" w:sz="0" w:space="0" w:color="auto"/>
        <w:right w:val="none" w:sz="0" w:space="0" w:color="auto"/>
      </w:divBdr>
      <w:divsChild>
        <w:div w:id="1830247698">
          <w:marLeft w:val="0"/>
          <w:marRight w:val="0"/>
          <w:marTop w:val="0"/>
          <w:marBottom w:val="0"/>
          <w:divBdr>
            <w:top w:val="none" w:sz="0" w:space="0" w:color="auto"/>
            <w:left w:val="none" w:sz="0" w:space="0" w:color="auto"/>
            <w:bottom w:val="none" w:sz="0" w:space="0" w:color="auto"/>
            <w:right w:val="none" w:sz="0" w:space="0" w:color="auto"/>
          </w:divBdr>
          <w:divsChild>
            <w:div w:id="74057199">
              <w:marLeft w:val="0"/>
              <w:marRight w:val="0"/>
              <w:marTop w:val="0"/>
              <w:marBottom w:val="0"/>
              <w:divBdr>
                <w:top w:val="none" w:sz="0" w:space="0" w:color="auto"/>
                <w:left w:val="none" w:sz="0" w:space="0" w:color="auto"/>
                <w:bottom w:val="none" w:sz="0" w:space="0" w:color="auto"/>
                <w:right w:val="none" w:sz="0" w:space="0" w:color="auto"/>
              </w:divBdr>
            </w:div>
            <w:div w:id="965963332">
              <w:marLeft w:val="0"/>
              <w:marRight w:val="0"/>
              <w:marTop w:val="0"/>
              <w:marBottom w:val="0"/>
              <w:divBdr>
                <w:top w:val="none" w:sz="0" w:space="0" w:color="auto"/>
                <w:left w:val="none" w:sz="0" w:space="0" w:color="auto"/>
                <w:bottom w:val="none" w:sz="0" w:space="0" w:color="auto"/>
                <w:right w:val="none" w:sz="0" w:space="0" w:color="auto"/>
              </w:divBdr>
            </w:div>
            <w:div w:id="1619599651">
              <w:marLeft w:val="0"/>
              <w:marRight w:val="0"/>
              <w:marTop w:val="0"/>
              <w:marBottom w:val="0"/>
              <w:divBdr>
                <w:top w:val="none" w:sz="0" w:space="0" w:color="auto"/>
                <w:left w:val="none" w:sz="0" w:space="0" w:color="auto"/>
                <w:bottom w:val="none" w:sz="0" w:space="0" w:color="auto"/>
                <w:right w:val="none" w:sz="0" w:space="0" w:color="auto"/>
              </w:divBdr>
            </w:div>
            <w:div w:id="952202906">
              <w:marLeft w:val="0"/>
              <w:marRight w:val="0"/>
              <w:marTop w:val="0"/>
              <w:marBottom w:val="0"/>
              <w:divBdr>
                <w:top w:val="none" w:sz="0" w:space="0" w:color="auto"/>
                <w:left w:val="none" w:sz="0" w:space="0" w:color="auto"/>
                <w:bottom w:val="none" w:sz="0" w:space="0" w:color="auto"/>
                <w:right w:val="none" w:sz="0" w:space="0" w:color="auto"/>
              </w:divBdr>
            </w:div>
            <w:div w:id="218131617">
              <w:marLeft w:val="0"/>
              <w:marRight w:val="0"/>
              <w:marTop w:val="0"/>
              <w:marBottom w:val="0"/>
              <w:divBdr>
                <w:top w:val="none" w:sz="0" w:space="0" w:color="auto"/>
                <w:left w:val="none" w:sz="0" w:space="0" w:color="auto"/>
                <w:bottom w:val="none" w:sz="0" w:space="0" w:color="auto"/>
                <w:right w:val="none" w:sz="0" w:space="0" w:color="auto"/>
              </w:divBdr>
            </w:div>
            <w:div w:id="119764473">
              <w:marLeft w:val="0"/>
              <w:marRight w:val="0"/>
              <w:marTop w:val="0"/>
              <w:marBottom w:val="0"/>
              <w:divBdr>
                <w:top w:val="none" w:sz="0" w:space="0" w:color="auto"/>
                <w:left w:val="none" w:sz="0" w:space="0" w:color="auto"/>
                <w:bottom w:val="none" w:sz="0" w:space="0" w:color="auto"/>
                <w:right w:val="none" w:sz="0" w:space="0" w:color="auto"/>
              </w:divBdr>
            </w:div>
            <w:div w:id="379481591">
              <w:marLeft w:val="0"/>
              <w:marRight w:val="0"/>
              <w:marTop w:val="0"/>
              <w:marBottom w:val="0"/>
              <w:divBdr>
                <w:top w:val="none" w:sz="0" w:space="0" w:color="auto"/>
                <w:left w:val="none" w:sz="0" w:space="0" w:color="auto"/>
                <w:bottom w:val="none" w:sz="0" w:space="0" w:color="auto"/>
                <w:right w:val="none" w:sz="0" w:space="0" w:color="auto"/>
              </w:divBdr>
            </w:div>
            <w:div w:id="1278756735">
              <w:marLeft w:val="0"/>
              <w:marRight w:val="0"/>
              <w:marTop w:val="0"/>
              <w:marBottom w:val="0"/>
              <w:divBdr>
                <w:top w:val="none" w:sz="0" w:space="0" w:color="auto"/>
                <w:left w:val="none" w:sz="0" w:space="0" w:color="auto"/>
                <w:bottom w:val="none" w:sz="0" w:space="0" w:color="auto"/>
                <w:right w:val="none" w:sz="0" w:space="0" w:color="auto"/>
              </w:divBdr>
            </w:div>
          </w:divsChild>
        </w:div>
        <w:div w:id="1486512856">
          <w:marLeft w:val="0"/>
          <w:marRight w:val="0"/>
          <w:marTop w:val="0"/>
          <w:marBottom w:val="0"/>
          <w:divBdr>
            <w:top w:val="none" w:sz="0" w:space="0" w:color="auto"/>
            <w:left w:val="none" w:sz="0" w:space="0" w:color="auto"/>
            <w:bottom w:val="none" w:sz="0" w:space="0" w:color="auto"/>
            <w:right w:val="none" w:sz="0" w:space="0" w:color="auto"/>
          </w:divBdr>
          <w:divsChild>
            <w:div w:id="400298873">
              <w:marLeft w:val="0"/>
              <w:marRight w:val="0"/>
              <w:marTop w:val="0"/>
              <w:marBottom w:val="0"/>
              <w:divBdr>
                <w:top w:val="none" w:sz="0" w:space="0" w:color="auto"/>
                <w:left w:val="none" w:sz="0" w:space="0" w:color="auto"/>
                <w:bottom w:val="none" w:sz="0" w:space="0" w:color="auto"/>
                <w:right w:val="none" w:sz="0" w:space="0" w:color="auto"/>
              </w:divBdr>
            </w:div>
            <w:div w:id="32465740">
              <w:marLeft w:val="0"/>
              <w:marRight w:val="0"/>
              <w:marTop w:val="0"/>
              <w:marBottom w:val="0"/>
              <w:divBdr>
                <w:top w:val="none" w:sz="0" w:space="0" w:color="auto"/>
                <w:left w:val="none" w:sz="0" w:space="0" w:color="auto"/>
                <w:bottom w:val="none" w:sz="0" w:space="0" w:color="auto"/>
                <w:right w:val="none" w:sz="0" w:space="0" w:color="auto"/>
              </w:divBdr>
            </w:div>
            <w:div w:id="2094086296">
              <w:marLeft w:val="0"/>
              <w:marRight w:val="0"/>
              <w:marTop w:val="0"/>
              <w:marBottom w:val="0"/>
              <w:divBdr>
                <w:top w:val="none" w:sz="0" w:space="0" w:color="auto"/>
                <w:left w:val="none" w:sz="0" w:space="0" w:color="auto"/>
                <w:bottom w:val="none" w:sz="0" w:space="0" w:color="auto"/>
                <w:right w:val="none" w:sz="0" w:space="0" w:color="auto"/>
              </w:divBdr>
            </w:div>
            <w:div w:id="1262101668">
              <w:marLeft w:val="0"/>
              <w:marRight w:val="0"/>
              <w:marTop w:val="0"/>
              <w:marBottom w:val="0"/>
              <w:divBdr>
                <w:top w:val="none" w:sz="0" w:space="0" w:color="auto"/>
                <w:left w:val="none" w:sz="0" w:space="0" w:color="auto"/>
                <w:bottom w:val="none" w:sz="0" w:space="0" w:color="auto"/>
                <w:right w:val="none" w:sz="0" w:space="0" w:color="auto"/>
              </w:divBdr>
            </w:div>
            <w:div w:id="1873375047">
              <w:marLeft w:val="0"/>
              <w:marRight w:val="0"/>
              <w:marTop w:val="0"/>
              <w:marBottom w:val="0"/>
              <w:divBdr>
                <w:top w:val="none" w:sz="0" w:space="0" w:color="auto"/>
                <w:left w:val="none" w:sz="0" w:space="0" w:color="auto"/>
                <w:bottom w:val="none" w:sz="0" w:space="0" w:color="auto"/>
                <w:right w:val="none" w:sz="0" w:space="0" w:color="auto"/>
              </w:divBdr>
            </w:div>
            <w:div w:id="81580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984509617">
      <w:bodyDiv w:val="1"/>
      <w:marLeft w:val="0"/>
      <w:marRight w:val="0"/>
      <w:marTop w:val="0"/>
      <w:marBottom w:val="0"/>
      <w:divBdr>
        <w:top w:val="none" w:sz="0" w:space="0" w:color="auto"/>
        <w:left w:val="none" w:sz="0" w:space="0" w:color="auto"/>
        <w:bottom w:val="none" w:sz="0" w:space="0" w:color="auto"/>
        <w:right w:val="none" w:sz="0" w:space="0" w:color="auto"/>
      </w:divBdr>
      <w:divsChild>
        <w:div w:id="180975684">
          <w:marLeft w:val="0"/>
          <w:marRight w:val="0"/>
          <w:marTop w:val="0"/>
          <w:marBottom w:val="0"/>
          <w:divBdr>
            <w:top w:val="none" w:sz="0" w:space="0" w:color="auto"/>
            <w:left w:val="none" w:sz="0" w:space="0" w:color="auto"/>
            <w:bottom w:val="none" w:sz="0" w:space="0" w:color="auto"/>
            <w:right w:val="none" w:sz="0" w:space="0" w:color="auto"/>
          </w:divBdr>
        </w:div>
        <w:div w:id="202786735">
          <w:marLeft w:val="0"/>
          <w:marRight w:val="0"/>
          <w:marTop w:val="0"/>
          <w:marBottom w:val="0"/>
          <w:divBdr>
            <w:top w:val="none" w:sz="0" w:space="0" w:color="auto"/>
            <w:left w:val="none" w:sz="0" w:space="0" w:color="auto"/>
            <w:bottom w:val="none" w:sz="0" w:space="0" w:color="auto"/>
            <w:right w:val="none" w:sz="0" w:space="0" w:color="auto"/>
          </w:divBdr>
        </w:div>
        <w:div w:id="1784493832">
          <w:marLeft w:val="0"/>
          <w:marRight w:val="0"/>
          <w:marTop w:val="0"/>
          <w:marBottom w:val="0"/>
          <w:divBdr>
            <w:top w:val="none" w:sz="0" w:space="0" w:color="auto"/>
            <w:left w:val="none" w:sz="0" w:space="0" w:color="auto"/>
            <w:bottom w:val="none" w:sz="0" w:space="0" w:color="auto"/>
            <w:right w:val="none" w:sz="0" w:space="0" w:color="auto"/>
          </w:divBdr>
        </w:div>
        <w:div w:id="52509347">
          <w:marLeft w:val="0"/>
          <w:marRight w:val="0"/>
          <w:marTop w:val="0"/>
          <w:marBottom w:val="0"/>
          <w:divBdr>
            <w:top w:val="none" w:sz="0" w:space="0" w:color="auto"/>
            <w:left w:val="none" w:sz="0" w:space="0" w:color="auto"/>
            <w:bottom w:val="none" w:sz="0" w:space="0" w:color="auto"/>
            <w:right w:val="none" w:sz="0" w:space="0" w:color="auto"/>
          </w:divBdr>
        </w:div>
        <w:div w:id="1480146474">
          <w:marLeft w:val="0"/>
          <w:marRight w:val="0"/>
          <w:marTop w:val="0"/>
          <w:marBottom w:val="0"/>
          <w:divBdr>
            <w:top w:val="none" w:sz="0" w:space="0" w:color="auto"/>
            <w:left w:val="none" w:sz="0" w:space="0" w:color="auto"/>
            <w:bottom w:val="none" w:sz="0" w:space="0" w:color="auto"/>
            <w:right w:val="none" w:sz="0" w:space="0" w:color="auto"/>
          </w:divBdr>
        </w:div>
        <w:div w:id="1558274874">
          <w:marLeft w:val="0"/>
          <w:marRight w:val="0"/>
          <w:marTop w:val="0"/>
          <w:marBottom w:val="0"/>
          <w:divBdr>
            <w:top w:val="none" w:sz="0" w:space="0" w:color="auto"/>
            <w:left w:val="none" w:sz="0" w:space="0" w:color="auto"/>
            <w:bottom w:val="none" w:sz="0" w:space="0" w:color="auto"/>
            <w:right w:val="none" w:sz="0" w:space="0" w:color="auto"/>
          </w:divBdr>
        </w:div>
      </w:divsChild>
    </w:div>
    <w:div w:id="986936639">
      <w:bodyDiv w:val="1"/>
      <w:marLeft w:val="0"/>
      <w:marRight w:val="0"/>
      <w:marTop w:val="0"/>
      <w:marBottom w:val="0"/>
      <w:divBdr>
        <w:top w:val="none" w:sz="0" w:space="0" w:color="auto"/>
        <w:left w:val="none" w:sz="0" w:space="0" w:color="auto"/>
        <w:bottom w:val="none" w:sz="0" w:space="0" w:color="auto"/>
        <w:right w:val="none" w:sz="0" w:space="0" w:color="auto"/>
      </w:divBdr>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1363259">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67651810">
      <w:bodyDiv w:val="1"/>
      <w:marLeft w:val="0"/>
      <w:marRight w:val="0"/>
      <w:marTop w:val="0"/>
      <w:marBottom w:val="0"/>
      <w:divBdr>
        <w:top w:val="none" w:sz="0" w:space="0" w:color="auto"/>
        <w:left w:val="none" w:sz="0" w:space="0" w:color="auto"/>
        <w:bottom w:val="none" w:sz="0" w:space="0" w:color="auto"/>
        <w:right w:val="none" w:sz="0" w:space="0" w:color="auto"/>
      </w:divBdr>
      <w:divsChild>
        <w:div w:id="393627780">
          <w:marLeft w:val="0"/>
          <w:marRight w:val="0"/>
          <w:marTop w:val="0"/>
          <w:marBottom w:val="0"/>
          <w:divBdr>
            <w:top w:val="none" w:sz="0" w:space="0" w:color="auto"/>
            <w:left w:val="none" w:sz="0" w:space="0" w:color="auto"/>
            <w:bottom w:val="none" w:sz="0" w:space="0" w:color="auto"/>
            <w:right w:val="none" w:sz="0" w:space="0" w:color="auto"/>
          </w:divBdr>
        </w:div>
        <w:div w:id="2087803417">
          <w:marLeft w:val="0"/>
          <w:marRight w:val="0"/>
          <w:marTop w:val="0"/>
          <w:marBottom w:val="0"/>
          <w:divBdr>
            <w:top w:val="none" w:sz="0" w:space="0" w:color="auto"/>
            <w:left w:val="none" w:sz="0" w:space="0" w:color="auto"/>
            <w:bottom w:val="none" w:sz="0" w:space="0" w:color="auto"/>
            <w:right w:val="none" w:sz="0" w:space="0" w:color="auto"/>
          </w:divBdr>
        </w:div>
        <w:div w:id="325256091">
          <w:marLeft w:val="0"/>
          <w:marRight w:val="0"/>
          <w:marTop w:val="0"/>
          <w:marBottom w:val="0"/>
          <w:divBdr>
            <w:top w:val="none" w:sz="0" w:space="0" w:color="auto"/>
            <w:left w:val="none" w:sz="0" w:space="0" w:color="auto"/>
            <w:bottom w:val="none" w:sz="0" w:space="0" w:color="auto"/>
            <w:right w:val="none" w:sz="0" w:space="0" w:color="auto"/>
          </w:divBdr>
        </w:div>
        <w:div w:id="413555252">
          <w:marLeft w:val="0"/>
          <w:marRight w:val="0"/>
          <w:marTop w:val="0"/>
          <w:marBottom w:val="0"/>
          <w:divBdr>
            <w:top w:val="none" w:sz="0" w:space="0" w:color="auto"/>
            <w:left w:val="none" w:sz="0" w:space="0" w:color="auto"/>
            <w:bottom w:val="none" w:sz="0" w:space="0" w:color="auto"/>
            <w:right w:val="none" w:sz="0" w:space="0" w:color="auto"/>
          </w:divBdr>
        </w:div>
        <w:div w:id="824588725">
          <w:marLeft w:val="0"/>
          <w:marRight w:val="0"/>
          <w:marTop w:val="0"/>
          <w:marBottom w:val="0"/>
          <w:divBdr>
            <w:top w:val="none" w:sz="0" w:space="0" w:color="auto"/>
            <w:left w:val="none" w:sz="0" w:space="0" w:color="auto"/>
            <w:bottom w:val="none" w:sz="0" w:space="0" w:color="auto"/>
            <w:right w:val="none" w:sz="0" w:space="0" w:color="auto"/>
          </w:divBdr>
        </w:div>
      </w:divsChild>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60660312">
      <w:bodyDiv w:val="1"/>
      <w:marLeft w:val="0"/>
      <w:marRight w:val="0"/>
      <w:marTop w:val="0"/>
      <w:marBottom w:val="0"/>
      <w:divBdr>
        <w:top w:val="none" w:sz="0" w:space="0" w:color="auto"/>
        <w:left w:val="none" w:sz="0" w:space="0" w:color="auto"/>
        <w:bottom w:val="none" w:sz="0" w:space="0" w:color="auto"/>
        <w:right w:val="none" w:sz="0" w:space="0" w:color="auto"/>
      </w:divBdr>
    </w:div>
    <w:div w:id="1876111271">
      <w:bodyDiv w:val="1"/>
      <w:marLeft w:val="0"/>
      <w:marRight w:val="0"/>
      <w:marTop w:val="0"/>
      <w:marBottom w:val="0"/>
      <w:divBdr>
        <w:top w:val="none" w:sz="0" w:space="0" w:color="auto"/>
        <w:left w:val="none" w:sz="0" w:space="0" w:color="auto"/>
        <w:bottom w:val="none" w:sz="0" w:space="0" w:color="auto"/>
        <w:right w:val="none" w:sz="0" w:space="0" w:color="auto"/>
      </w:divBdr>
      <w:divsChild>
        <w:div w:id="649990636">
          <w:marLeft w:val="0"/>
          <w:marRight w:val="0"/>
          <w:marTop w:val="0"/>
          <w:marBottom w:val="0"/>
          <w:divBdr>
            <w:top w:val="none" w:sz="0" w:space="0" w:color="auto"/>
            <w:left w:val="none" w:sz="0" w:space="0" w:color="auto"/>
            <w:bottom w:val="none" w:sz="0" w:space="0" w:color="auto"/>
            <w:right w:val="none" w:sz="0" w:space="0" w:color="auto"/>
          </w:divBdr>
        </w:div>
        <w:div w:id="1069352694">
          <w:marLeft w:val="0"/>
          <w:marRight w:val="0"/>
          <w:marTop w:val="0"/>
          <w:marBottom w:val="0"/>
          <w:divBdr>
            <w:top w:val="none" w:sz="0" w:space="0" w:color="auto"/>
            <w:left w:val="none" w:sz="0" w:space="0" w:color="auto"/>
            <w:bottom w:val="none" w:sz="0" w:space="0" w:color="auto"/>
            <w:right w:val="none" w:sz="0" w:space="0" w:color="auto"/>
          </w:divBdr>
        </w:div>
        <w:div w:id="627275283">
          <w:marLeft w:val="0"/>
          <w:marRight w:val="0"/>
          <w:marTop w:val="0"/>
          <w:marBottom w:val="0"/>
          <w:divBdr>
            <w:top w:val="none" w:sz="0" w:space="0" w:color="auto"/>
            <w:left w:val="none" w:sz="0" w:space="0" w:color="auto"/>
            <w:bottom w:val="none" w:sz="0" w:space="0" w:color="auto"/>
            <w:right w:val="none" w:sz="0" w:space="0" w:color="auto"/>
          </w:divBdr>
        </w:div>
        <w:div w:id="1860653166">
          <w:marLeft w:val="0"/>
          <w:marRight w:val="0"/>
          <w:marTop w:val="0"/>
          <w:marBottom w:val="0"/>
          <w:divBdr>
            <w:top w:val="none" w:sz="0" w:space="0" w:color="auto"/>
            <w:left w:val="none" w:sz="0" w:space="0" w:color="auto"/>
            <w:bottom w:val="none" w:sz="0" w:space="0" w:color="auto"/>
            <w:right w:val="none" w:sz="0" w:space="0" w:color="auto"/>
          </w:divBdr>
        </w:div>
        <w:div w:id="440299132">
          <w:marLeft w:val="0"/>
          <w:marRight w:val="0"/>
          <w:marTop w:val="0"/>
          <w:marBottom w:val="0"/>
          <w:divBdr>
            <w:top w:val="none" w:sz="0" w:space="0" w:color="auto"/>
            <w:left w:val="none" w:sz="0" w:space="0" w:color="auto"/>
            <w:bottom w:val="none" w:sz="0" w:space="0" w:color="auto"/>
            <w:right w:val="none" w:sz="0" w:space="0" w:color="auto"/>
          </w:divBdr>
        </w:div>
        <w:div w:id="60254900">
          <w:marLeft w:val="0"/>
          <w:marRight w:val="0"/>
          <w:marTop w:val="0"/>
          <w:marBottom w:val="0"/>
          <w:divBdr>
            <w:top w:val="none" w:sz="0" w:space="0" w:color="auto"/>
            <w:left w:val="none" w:sz="0" w:space="0" w:color="auto"/>
            <w:bottom w:val="none" w:sz="0" w:space="0" w:color="auto"/>
            <w:right w:val="none" w:sz="0" w:space="0" w:color="auto"/>
          </w:divBdr>
        </w:div>
        <w:div w:id="1500660605">
          <w:marLeft w:val="0"/>
          <w:marRight w:val="0"/>
          <w:marTop w:val="0"/>
          <w:marBottom w:val="0"/>
          <w:divBdr>
            <w:top w:val="none" w:sz="0" w:space="0" w:color="auto"/>
            <w:left w:val="none" w:sz="0" w:space="0" w:color="auto"/>
            <w:bottom w:val="none" w:sz="0" w:space="0" w:color="auto"/>
            <w:right w:val="none" w:sz="0" w:space="0" w:color="auto"/>
          </w:divBdr>
        </w:div>
        <w:div w:id="225993746">
          <w:marLeft w:val="0"/>
          <w:marRight w:val="0"/>
          <w:marTop w:val="0"/>
          <w:marBottom w:val="0"/>
          <w:divBdr>
            <w:top w:val="none" w:sz="0" w:space="0" w:color="auto"/>
            <w:left w:val="none" w:sz="0" w:space="0" w:color="auto"/>
            <w:bottom w:val="none" w:sz="0" w:space="0" w:color="auto"/>
            <w:right w:val="none" w:sz="0" w:space="0" w:color="auto"/>
          </w:divBdr>
        </w:div>
        <w:div w:id="225803164">
          <w:marLeft w:val="0"/>
          <w:marRight w:val="0"/>
          <w:marTop w:val="0"/>
          <w:marBottom w:val="0"/>
          <w:divBdr>
            <w:top w:val="none" w:sz="0" w:space="0" w:color="auto"/>
            <w:left w:val="none" w:sz="0" w:space="0" w:color="auto"/>
            <w:bottom w:val="none" w:sz="0" w:space="0" w:color="auto"/>
            <w:right w:val="none" w:sz="0" w:space="0" w:color="auto"/>
          </w:divBdr>
        </w:div>
        <w:div w:id="829056745">
          <w:marLeft w:val="0"/>
          <w:marRight w:val="0"/>
          <w:marTop w:val="0"/>
          <w:marBottom w:val="0"/>
          <w:divBdr>
            <w:top w:val="none" w:sz="0" w:space="0" w:color="auto"/>
            <w:left w:val="none" w:sz="0" w:space="0" w:color="auto"/>
            <w:bottom w:val="none" w:sz="0" w:space="0" w:color="auto"/>
            <w:right w:val="none" w:sz="0" w:space="0" w:color="auto"/>
          </w:divBdr>
        </w:div>
        <w:div w:id="1955869666">
          <w:marLeft w:val="0"/>
          <w:marRight w:val="0"/>
          <w:marTop w:val="0"/>
          <w:marBottom w:val="0"/>
          <w:divBdr>
            <w:top w:val="none" w:sz="0" w:space="0" w:color="auto"/>
            <w:left w:val="none" w:sz="0" w:space="0" w:color="auto"/>
            <w:bottom w:val="none" w:sz="0" w:space="0" w:color="auto"/>
            <w:right w:val="none" w:sz="0" w:space="0" w:color="auto"/>
          </w:divBdr>
        </w:div>
        <w:div w:id="1347094303">
          <w:marLeft w:val="0"/>
          <w:marRight w:val="0"/>
          <w:marTop w:val="0"/>
          <w:marBottom w:val="0"/>
          <w:divBdr>
            <w:top w:val="none" w:sz="0" w:space="0" w:color="auto"/>
            <w:left w:val="none" w:sz="0" w:space="0" w:color="auto"/>
            <w:bottom w:val="none" w:sz="0" w:space="0" w:color="auto"/>
            <w:right w:val="none" w:sz="0" w:space="0" w:color="auto"/>
          </w:divBdr>
        </w:div>
        <w:div w:id="1268467884">
          <w:marLeft w:val="0"/>
          <w:marRight w:val="0"/>
          <w:marTop w:val="0"/>
          <w:marBottom w:val="0"/>
          <w:divBdr>
            <w:top w:val="none" w:sz="0" w:space="0" w:color="auto"/>
            <w:left w:val="none" w:sz="0" w:space="0" w:color="auto"/>
            <w:bottom w:val="none" w:sz="0" w:space="0" w:color="auto"/>
            <w:right w:val="none" w:sz="0" w:space="0" w:color="auto"/>
          </w:divBdr>
        </w:div>
        <w:div w:id="916474353">
          <w:marLeft w:val="0"/>
          <w:marRight w:val="0"/>
          <w:marTop w:val="0"/>
          <w:marBottom w:val="0"/>
          <w:divBdr>
            <w:top w:val="none" w:sz="0" w:space="0" w:color="auto"/>
            <w:left w:val="none" w:sz="0" w:space="0" w:color="auto"/>
            <w:bottom w:val="none" w:sz="0" w:space="0" w:color="auto"/>
            <w:right w:val="none" w:sz="0" w:space="0" w:color="auto"/>
          </w:divBdr>
        </w:div>
        <w:div w:id="51124759">
          <w:marLeft w:val="0"/>
          <w:marRight w:val="0"/>
          <w:marTop w:val="0"/>
          <w:marBottom w:val="0"/>
          <w:divBdr>
            <w:top w:val="none" w:sz="0" w:space="0" w:color="auto"/>
            <w:left w:val="none" w:sz="0" w:space="0" w:color="auto"/>
            <w:bottom w:val="none" w:sz="0" w:space="0" w:color="auto"/>
            <w:right w:val="none" w:sz="0" w:space="0" w:color="auto"/>
          </w:divBdr>
        </w:div>
      </w:divsChild>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58426591">
      <w:bodyDiv w:val="1"/>
      <w:marLeft w:val="0"/>
      <w:marRight w:val="0"/>
      <w:marTop w:val="0"/>
      <w:marBottom w:val="0"/>
      <w:divBdr>
        <w:top w:val="none" w:sz="0" w:space="0" w:color="auto"/>
        <w:left w:val="none" w:sz="0" w:space="0" w:color="auto"/>
        <w:bottom w:val="none" w:sz="0" w:space="0" w:color="auto"/>
        <w:right w:val="none" w:sz="0" w:space="0" w:color="auto"/>
      </w:divBdr>
      <w:divsChild>
        <w:div w:id="39742933">
          <w:marLeft w:val="0"/>
          <w:marRight w:val="0"/>
          <w:marTop w:val="0"/>
          <w:marBottom w:val="0"/>
          <w:divBdr>
            <w:top w:val="none" w:sz="0" w:space="0" w:color="auto"/>
            <w:left w:val="none" w:sz="0" w:space="0" w:color="auto"/>
            <w:bottom w:val="none" w:sz="0" w:space="0" w:color="auto"/>
            <w:right w:val="none" w:sz="0" w:space="0" w:color="auto"/>
          </w:divBdr>
          <w:divsChild>
            <w:div w:id="1670476464">
              <w:marLeft w:val="0"/>
              <w:marRight w:val="0"/>
              <w:marTop w:val="0"/>
              <w:marBottom w:val="0"/>
              <w:divBdr>
                <w:top w:val="none" w:sz="0" w:space="0" w:color="auto"/>
                <w:left w:val="none" w:sz="0" w:space="0" w:color="auto"/>
                <w:bottom w:val="none" w:sz="0" w:space="0" w:color="auto"/>
                <w:right w:val="none" w:sz="0" w:space="0" w:color="auto"/>
              </w:divBdr>
            </w:div>
          </w:divsChild>
        </w:div>
        <w:div w:id="836383360">
          <w:marLeft w:val="0"/>
          <w:marRight w:val="0"/>
          <w:marTop w:val="0"/>
          <w:marBottom w:val="0"/>
          <w:divBdr>
            <w:top w:val="none" w:sz="0" w:space="0" w:color="auto"/>
            <w:left w:val="none" w:sz="0" w:space="0" w:color="auto"/>
            <w:bottom w:val="none" w:sz="0" w:space="0" w:color="auto"/>
            <w:right w:val="none" w:sz="0" w:space="0" w:color="auto"/>
          </w:divBdr>
          <w:divsChild>
            <w:div w:id="468865628">
              <w:marLeft w:val="0"/>
              <w:marRight w:val="0"/>
              <w:marTop w:val="0"/>
              <w:marBottom w:val="0"/>
              <w:divBdr>
                <w:top w:val="none" w:sz="0" w:space="0" w:color="auto"/>
                <w:left w:val="none" w:sz="0" w:space="0" w:color="auto"/>
                <w:bottom w:val="none" w:sz="0" w:space="0" w:color="auto"/>
                <w:right w:val="none" w:sz="0" w:space="0" w:color="auto"/>
              </w:divBdr>
            </w:div>
            <w:div w:id="637105490">
              <w:marLeft w:val="0"/>
              <w:marRight w:val="0"/>
              <w:marTop w:val="0"/>
              <w:marBottom w:val="0"/>
              <w:divBdr>
                <w:top w:val="none" w:sz="0" w:space="0" w:color="auto"/>
                <w:left w:val="none" w:sz="0" w:space="0" w:color="auto"/>
                <w:bottom w:val="none" w:sz="0" w:space="0" w:color="auto"/>
                <w:right w:val="none" w:sz="0" w:space="0" w:color="auto"/>
              </w:divBdr>
            </w:div>
            <w:div w:id="1420520376">
              <w:marLeft w:val="0"/>
              <w:marRight w:val="0"/>
              <w:marTop w:val="0"/>
              <w:marBottom w:val="0"/>
              <w:divBdr>
                <w:top w:val="none" w:sz="0" w:space="0" w:color="auto"/>
                <w:left w:val="none" w:sz="0" w:space="0" w:color="auto"/>
                <w:bottom w:val="none" w:sz="0" w:space="0" w:color="auto"/>
                <w:right w:val="none" w:sz="0" w:space="0" w:color="auto"/>
              </w:divBdr>
            </w:div>
            <w:div w:id="671298450">
              <w:marLeft w:val="0"/>
              <w:marRight w:val="0"/>
              <w:marTop w:val="0"/>
              <w:marBottom w:val="0"/>
              <w:divBdr>
                <w:top w:val="none" w:sz="0" w:space="0" w:color="auto"/>
                <w:left w:val="none" w:sz="0" w:space="0" w:color="auto"/>
                <w:bottom w:val="none" w:sz="0" w:space="0" w:color="auto"/>
                <w:right w:val="none" w:sz="0" w:space="0" w:color="auto"/>
              </w:divBdr>
            </w:div>
            <w:div w:id="167410063">
              <w:marLeft w:val="0"/>
              <w:marRight w:val="0"/>
              <w:marTop w:val="0"/>
              <w:marBottom w:val="0"/>
              <w:divBdr>
                <w:top w:val="none" w:sz="0" w:space="0" w:color="auto"/>
                <w:left w:val="none" w:sz="0" w:space="0" w:color="auto"/>
                <w:bottom w:val="none" w:sz="0" w:space="0" w:color="auto"/>
                <w:right w:val="none" w:sz="0" w:space="0" w:color="auto"/>
              </w:divBdr>
            </w:div>
            <w:div w:id="1097095720">
              <w:marLeft w:val="0"/>
              <w:marRight w:val="0"/>
              <w:marTop w:val="0"/>
              <w:marBottom w:val="0"/>
              <w:divBdr>
                <w:top w:val="none" w:sz="0" w:space="0" w:color="auto"/>
                <w:left w:val="none" w:sz="0" w:space="0" w:color="auto"/>
                <w:bottom w:val="none" w:sz="0" w:space="0" w:color="auto"/>
                <w:right w:val="none" w:sz="0" w:space="0" w:color="auto"/>
              </w:divBdr>
            </w:div>
            <w:div w:id="1417900039">
              <w:marLeft w:val="0"/>
              <w:marRight w:val="0"/>
              <w:marTop w:val="0"/>
              <w:marBottom w:val="0"/>
              <w:divBdr>
                <w:top w:val="none" w:sz="0" w:space="0" w:color="auto"/>
                <w:left w:val="none" w:sz="0" w:space="0" w:color="auto"/>
                <w:bottom w:val="none" w:sz="0" w:space="0" w:color="auto"/>
                <w:right w:val="none" w:sz="0" w:space="0" w:color="auto"/>
              </w:divBdr>
            </w:div>
            <w:div w:id="1537502676">
              <w:marLeft w:val="0"/>
              <w:marRight w:val="0"/>
              <w:marTop w:val="0"/>
              <w:marBottom w:val="0"/>
              <w:divBdr>
                <w:top w:val="none" w:sz="0" w:space="0" w:color="auto"/>
                <w:left w:val="none" w:sz="0" w:space="0" w:color="auto"/>
                <w:bottom w:val="none" w:sz="0" w:space="0" w:color="auto"/>
                <w:right w:val="none" w:sz="0" w:space="0" w:color="auto"/>
              </w:divBdr>
            </w:div>
            <w:div w:id="8532738">
              <w:marLeft w:val="0"/>
              <w:marRight w:val="0"/>
              <w:marTop w:val="0"/>
              <w:marBottom w:val="0"/>
              <w:divBdr>
                <w:top w:val="none" w:sz="0" w:space="0" w:color="auto"/>
                <w:left w:val="none" w:sz="0" w:space="0" w:color="auto"/>
                <w:bottom w:val="none" w:sz="0" w:space="0" w:color="auto"/>
                <w:right w:val="none" w:sz="0" w:space="0" w:color="auto"/>
              </w:divBdr>
            </w:div>
            <w:div w:id="2110732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DBE6A5B5-72BF-4EFE-AE93-842552F29514}"/>
</file>

<file path=customXml/itemProps4.xml><?xml version="1.0" encoding="utf-8"?>
<ds:datastoreItem xmlns:ds="http://schemas.openxmlformats.org/officeDocument/2006/customXml" ds:itemID="{A243CFE1-08DE-432F-83DD-4933F5F97812}">
  <ds:schemaRefs>
    <ds:schemaRef ds:uri="7757c461-07c7-44e1-99a5-77c6cc8be592"/>
    <ds:schemaRef ds:uri="http://schemas.microsoft.com/sharepoint/v4"/>
    <ds:schemaRef ds:uri="http://purl.org/dc/terms/"/>
    <ds:schemaRef ds:uri="http://schemas.openxmlformats.org/package/2006/metadata/core-properties"/>
    <ds:schemaRef ds:uri="eb403b6b-7b96-4fe7-afcc-b3d44ddfb7d8"/>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1892</Words>
  <Characters>11989</Characters>
  <Application>Microsoft Office Word</Application>
  <DocSecurity>0</DocSecurity>
  <Lines>428</Lines>
  <Paragraphs>375</Paragraphs>
  <ScaleCrop>false</ScaleCrop>
  <HeadingPairs>
    <vt:vector size="2" baseType="variant">
      <vt:variant>
        <vt:lpstr>Title</vt:lpstr>
      </vt:variant>
      <vt:variant>
        <vt:i4>1</vt:i4>
      </vt:variant>
    </vt:vector>
  </HeadingPairs>
  <TitlesOfParts>
    <vt:vector size="1" baseType="lpstr">
      <vt:lpstr>UM PrimaryTemplate</vt:lpstr>
    </vt:vector>
  </TitlesOfParts>
  <Company/>
  <LinksUpToDate>false</LinksUpToDate>
  <CharactersWithSpaces>13506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Yervoy SGM 1796-A</dc:title>
  <dc:subject/>
  <dc:creator>CVS Caremark</dc:creator>
  <cp:keywords/>
  <cp:lastModifiedBy>Ortiz, Erica M</cp:lastModifiedBy>
  <cp:revision>5</cp:revision>
  <cp:lastPrinted>2018-01-09T05:01:00Z</cp:lastPrinted>
  <dcterms:created xsi:type="dcterms:W3CDTF">2025-07-11T20:41:00Z</dcterms:created>
  <dcterms:modified xsi:type="dcterms:W3CDTF">2025-07-11T20:43:00Z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117600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